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00" w:rsidRPr="005D373A" w:rsidRDefault="006071D4" w:rsidP="00B2407D">
      <w:pPr>
        <w:pStyle w:val="BodyText"/>
        <w:spacing w:after="0" w:line="360" w:lineRule="auto"/>
        <w:jc w:val="center"/>
        <w:rPr>
          <w:rFonts w:ascii="Century Gothic" w:hAnsi="Century Gothic"/>
          <w:b/>
          <w:sz w:val="24"/>
          <w:szCs w:val="24"/>
        </w:rPr>
      </w:pPr>
      <w:bookmarkStart w:id="0" w:name="_GoBack"/>
      <w:bookmarkEnd w:id="0"/>
      <w:r w:rsidRPr="005D373A">
        <w:rPr>
          <w:rFonts w:ascii="Century Gothic" w:hAnsi="Century Gothic"/>
          <w:b/>
          <w:sz w:val="24"/>
          <w:szCs w:val="24"/>
        </w:rPr>
        <w:t>Lambeth Law Centre</w:t>
      </w:r>
    </w:p>
    <w:p w:rsidR="005D373A" w:rsidRDefault="005D373A" w:rsidP="00B2407D">
      <w:pPr>
        <w:pStyle w:val="BodyText"/>
        <w:spacing w:after="0" w:line="360" w:lineRule="auto"/>
        <w:jc w:val="center"/>
        <w:rPr>
          <w:rFonts w:ascii="Century Gothic" w:hAnsi="Century Gothic"/>
          <w:b/>
          <w:sz w:val="24"/>
          <w:szCs w:val="24"/>
        </w:rPr>
      </w:pPr>
      <w:r w:rsidRPr="005D373A">
        <w:rPr>
          <w:rFonts w:ascii="Century Gothic" w:hAnsi="Century Gothic"/>
          <w:b/>
          <w:sz w:val="24"/>
          <w:szCs w:val="24"/>
        </w:rPr>
        <w:t>Strategic Legal Fund</w:t>
      </w:r>
    </w:p>
    <w:p w:rsidR="00F013FF" w:rsidRPr="005D373A" w:rsidRDefault="005A4A6A" w:rsidP="00B2407D">
      <w:pPr>
        <w:pStyle w:val="BodyText"/>
        <w:spacing w:after="0" w:line="360" w:lineRule="auto"/>
        <w:jc w:val="center"/>
        <w:rPr>
          <w:rFonts w:ascii="Century Gothic" w:hAnsi="Century Gothic"/>
          <w:b/>
          <w:sz w:val="24"/>
          <w:szCs w:val="24"/>
        </w:rPr>
      </w:pPr>
      <w:r>
        <w:rPr>
          <w:rFonts w:ascii="Century Gothic" w:hAnsi="Century Gothic"/>
          <w:b/>
          <w:sz w:val="24"/>
          <w:szCs w:val="24"/>
        </w:rPr>
        <w:t>The impact on families and children of i</w:t>
      </w:r>
      <w:r w:rsidR="00F013FF">
        <w:rPr>
          <w:rFonts w:ascii="Century Gothic" w:hAnsi="Century Gothic"/>
          <w:b/>
          <w:sz w:val="24"/>
          <w:szCs w:val="24"/>
        </w:rPr>
        <w:t xml:space="preserve">nsecure immigration status </w:t>
      </w:r>
    </w:p>
    <w:p w:rsidR="005D373A" w:rsidRDefault="005D373A" w:rsidP="00B2407D">
      <w:pPr>
        <w:pStyle w:val="BodyText"/>
        <w:spacing w:after="0" w:line="360" w:lineRule="auto"/>
        <w:rPr>
          <w:rFonts w:ascii="Century Gothic" w:hAnsi="Century Gothic"/>
          <w:sz w:val="24"/>
          <w:szCs w:val="24"/>
        </w:rPr>
      </w:pPr>
    </w:p>
    <w:p w:rsidR="00181F0E" w:rsidRPr="00181F0E" w:rsidRDefault="00181F0E" w:rsidP="00B2407D">
      <w:pPr>
        <w:pStyle w:val="BodyText"/>
        <w:spacing w:after="0" w:line="360" w:lineRule="auto"/>
        <w:rPr>
          <w:rFonts w:ascii="Century Gothic" w:hAnsi="Century Gothic"/>
          <w:b/>
          <w:sz w:val="24"/>
          <w:szCs w:val="24"/>
        </w:rPr>
      </w:pPr>
      <w:r w:rsidRPr="00181F0E">
        <w:rPr>
          <w:rFonts w:ascii="Century Gothic" w:hAnsi="Century Gothic"/>
          <w:b/>
          <w:sz w:val="24"/>
          <w:szCs w:val="24"/>
        </w:rPr>
        <w:t>Contents</w:t>
      </w:r>
    </w:p>
    <w:p w:rsidR="00181F0E" w:rsidRDefault="00181F0E" w:rsidP="00181F0E">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Introduction</w:t>
      </w:r>
    </w:p>
    <w:p w:rsidR="00181F0E" w:rsidRDefault="00181F0E" w:rsidP="00181F0E">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Legal framework</w:t>
      </w:r>
    </w:p>
    <w:p w:rsidR="00181F0E" w:rsidRDefault="00006007" w:rsidP="00181F0E">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R</w:t>
      </w:r>
      <w:r w:rsidR="00181F0E">
        <w:rPr>
          <w:rFonts w:ascii="Century Gothic" w:hAnsi="Century Gothic"/>
          <w:sz w:val="24"/>
          <w:szCs w:val="24"/>
        </w:rPr>
        <w:t>esearch</w:t>
      </w:r>
    </w:p>
    <w:p w:rsidR="00181F0E" w:rsidRDefault="008E2953" w:rsidP="00181F0E">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Case study</w:t>
      </w:r>
    </w:p>
    <w:p w:rsidR="00181F0E" w:rsidRDefault="00181F0E" w:rsidP="00181F0E">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Conclusion</w:t>
      </w:r>
    </w:p>
    <w:p w:rsidR="00254F15" w:rsidRDefault="00181F0E" w:rsidP="00254F15">
      <w:pPr>
        <w:pStyle w:val="BodyText"/>
        <w:numPr>
          <w:ilvl w:val="0"/>
          <w:numId w:val="30"/>
        </w:numPr>
        <w:spacing w:after="0" w:line="360" w:lineRule="auto"/>
        <w:rPr>
          <w:rFonts w:ascii="Century Gothic" w:hAnsi="Century Gothic"/>
          <w:sz w:val="24"/>
          <w:szCs w:val="24"/>
        </w:rPr>
      </w:pPr>
      <w:r>
        <w:rPr>
          <w:rFonts w:ascii="Century Gothic" w:hAnsi="Century Gothic"/>
          <w:sz w:val="24"/>
          <w:szCs w:val="24"/>
        </w:rPr>
        <w:t>Appendices</w:t>
      </w:r>
    </w:p>
    <w:p w:rsidR="00254F15" w:rsidRDefault="00254F15" w:rsidP="00254F15">
      <w:pPr>
        <w:pStyle w:val="BodyText"/>
        <w:spacing w:after="0" w:line="360" w:lineRule="auto"/>
        <w:rPr>
          <w:rFonts w:ascii="Century Gothic" w:hAnsi="Century Gothic"/>
          <w:sz w:val="24"/>
          <w:szCs w:val="24"/>
        </w:rPr>
      </w:pPr>
    </w:p>
    <w:p w:rsidR="00254F15" w:rsidRDefault="00254F15" w:rsidP="00254F15">
      <w:pPr>
        <w:pStyle w:val="BodyText"/>
        <w:spacing w:after="0" w:line="360" w:lineRule="auto"/>
        <w:rPr>
          <w:rFonts w:ascii="Century Gothic" w:hAnsi="Century Gothic"/>
          <w:sz w:val="24"/>
          <w:szCs w:val="24"/>
        </w:rPr>
      </w:pPr>
    </w:p>
    <w:p w:rsidR="00254F15" w:rsidRDefault="00254F15" w:rsidP="00254F15">
      <w:pPr>
        <w:pStyle w:val="BodyText"/>
        <w:spacing w:after="0" w:line="360" w:lineRule="auto"/>
        <w:rPr>
          <w:rFonts w:ascii="Century Gothic" w:hAnsi="Century Gothic"/>
          <w:sz w:val="24"/>
          <w:szCs w:val="24"/>
        </w:rPr>
      </w:pPr>
    </w:p>
    <w:p w:rsidR="00254F15" w:rsidRDefault="00254F15" w:rsidP="00254F15">
      <w:pPr>
        <w:pStyle w:val="BodyText"/>
        <w:spacing w:after="0" w:line="360" w:lineRule="auto"/>
        <w:rPr>
          <w:rFonts w:ascii="Century Gothic" w:hAnsi="Century Gothic"/>
          <w:sz w:val="24"/>
          <w:szCs w:val="24"/>
        </w:rPr>
      </w:pPr>
      <w:r>
        <w:rPr>
          <w:rFonts w:ascii="Century Gothic" w:hAnsi="Century Gothic"/>
          <w:sz w:val="24"/>
          <w:szCs w:val="24"/>
        </w:rPr>
        <w:t>Report’s author:</w:t>
      </w:r>
    </w:p>
    <w:p w:rsidR="00254F15" w:rsidRDefault="00254F15" w:rsidP="00254F15">
      <w:pPr>
        <w:pStyle w:val="BodyText"/>
        <w:spacing w:after="0" w:line="360" w:lineRule="auto"/>
        <w:rPr>
          <w:rFonts w:ascii="Century Gothic" w:hAnsi="Century Gothic"/>
          <w:sz w:val="24"/>
          <w:szCs w:val="24"/>
        </w:rPr>
      </w:pPr>
      <w:proofErr w:type="spellStart"/>
      <w:r>
        <w:rPr>
          <w:rFonts w:ascii="Century Gothic" w:hAnsi="Century Gothic"/>
          <w:sz w:val="24"/>
          <w:szCs w:val="24"/>
        </w:rPr>
        <w:t>Neena</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Acharya</w:t>
      </w:r>
      <w:proofErr w:type="spellEnd"/>
      <w:r>
        <w:rPr>
          <w:rFonts w:ascii="Century Gothic" w:hAnsi="Century Gothic"/>
          <w:sz w:val="24"/>
          <w:szCs w:val="24"/>
        </w:rPr>
        <w:t>,</w:t>
      </w:r>
      <w:proofErr w:type="gramEnd"/>
      <w:r>
        <w:rPr>
          <w:rFonts w:ascii="Century Gothic" w:hAnsi="Century Gothic"/>
          <w:sz w:val="24"/>
          <w:szCs w:val="24"/>
        </w:rPr>
        <w:t xml:space="preserve"> Lambeth Law Centre.</w:t>
      </w:r>
    </w:p>
    <w:p w:rsidR="00254F15" w:rsidRDefault="00254F15" w:rsidP="00254F15">
      <w:pPr>
        <w:pStyle w:val="BodyText"/>
        <w:spacing w:after="0" w:line="360" w:lineRule="auto"/>
        <w:rPr>
          <w:rFonts w:ascii="Century Gothic" w:hAnsi="Century Gothic"/>
          <w:sz w:val="24"/>
          <w:szCs w:val="24"/>
        </w:rPr>
      </w:pPr>
    </w:p>
    <w:p w:rsidR="00254F15" w:rsidRDefault="00254F15" w:rsidP="00254F15">
      <w:pPr>
        <w:pStyle w:val="BodyText"/>
        <w:spacing w:after="0" w:line="360" w:lineRule="auto"/>
        <w:rPr>
          <w:rFonts w:ascii="Century Gothic" w:hAnsi="Century Gothic"/>
          <w:sz w:val="24"/>
          <w:szCs w:val="24"/>
        </w:rPr>
      </w:pPr>
      <w:r>
        <w:rPr>
          <w:rFonts w:ascii="Century Gothic" w:hAnsi="Century Gothic"/>
          <w:sz w:val="24"/>
          <w:szCs w:val="24"/>
        </w:rPr>
        <w:t>Persons who worked on the research:</w:t>
      </w:r>
    </w:p>
    <w:p w:rsidR="00254F15" w:rsidRDefault="00254F15" w:rsidP="00254F15">
      <w:pPr>
        <w:pStyle w:val="BodyText"/>
        <w:spacing w:after="0" w:line="360" w:lineRule="auto"/>
        <w:rPr>
          <w:rFonts w:ascii="Century Gothic" w:hAnsi="Century Gothic"/>
          <w:sz w:val="24"/>
          <w:szCs w:val="24"/>
        </w:rPr>
      </w:pPr>
      <w:proofErr w:type="spellStart"/>
      <w:r>
        <w:rPr>
          <w:rFonts w:ascii="Century Gothic" w:hAnsi="Century Gothic"/>
          <w:sz w:val="24"/>
          <w:szCs w:val="24"/>
        </w:rPr>
        <w:t>Neena</w:t>
      </w:r>
      <w:proofErr w:type="spellEnd"/>
      <w:r>
        <w:rPr>
          <w:rFonts w:ascii="Century Gothic" w:hAnsi="Century Gothic"/>
          <w:sz w:val="24"/>
          <w:szCs w:val="24"/>
        </w:rPr>
        <w:t xml:space="preserve"> </w:t>
      </w:r>
      <w:proofErr w:type="spellStart"/>
      <w:r>
        <w:rPr>
          <w:rFonts w:ascii="Century Gothic" w:hAnsi="Century Gothic"/>
          <w:sz w:val="24"/>
          <w:szCs w:val="24"/>
        </w:rPr>
        <w:t>Acharya</w:t>
      </w:r>
      <w:proofErr w:type="spellEnd"/>
      <w:r>
        <w:rPr>
          <w:rFonts w:ascii="Century Gothic" w:hAnsi="Century Gothic"/>
          <w:sz w:val="24"/>
          <w:szCs w:val="24"/>
        </w:rPr>
        <w:t xml:space="preserve"> (Solicitor at Lambeth Law Centre).</w:t>
      </w:r>
    </w:p>
    <w:p w:rsidR="00254F15" w:rsidRDefault="00254F15" w:rsidP="00254F15">
      <w:pPr>
        <w:pStyle w:val="BodyText"/>
        <w:spacing w:after="0" w:line="360" w:lineRule="auto"/>
        <w:rPr>
          <w:rFonts w:ascii="Century Gothic" w:hAnsi="Century Gothic"/>
          <w:sz w:val="24"/>
          <w:szCs w:val="24"/>
        </w:rPr>
      </w:pPr>
      <w:r>
        <w:rPr>
          <w:rFonts w:ascii="Century Gothic" w:hAnsi="Century Gothic"/>
          <w:sz w:val="24"/>
          <w:szCs w:val="24"/>
        </w:rPr>
        <w:t xml:space="preserve">Catherina </w:t>
      </w:r>
      <w:proofErr w:type="spellStart"/>
      <w:r>
        <w:rPr>
          <w:rFonts w:ascii="Century Gothic" w:hAnsi="Century Gothic"/>
          <w:sz w:val="24"/>
          <w:szCs w:val="24"/>
        </w:rPr>
        <w:t>Yurchyshyn</w:t>
      </w:r>
      <w:proofErr w:type="spellEnd"/>
      <w:r>
        <w:rPr>
          <w:rFonts w:ascii="Century Gothic" w:hAnsi="Century Gothic"/>
          <w:sz w:val="24"/>
          <w:szCs w:val="24"/>
        </w:rPr>
        <w:t xml:space="preserve"> (volunteer worker at Lambeth Law Centre).</w:t>
      </w:r>
    </w:p>
    <w:p w:rsidR="00254F15" w:rsidRDefault="00254F15" w:rsidP="00254F15">
      <w:pPr>
        <w:pStyle w:val="BodyText"/>
        <w:spacing w:after="0" w:line="360" w:lineRule="auto"/>
        <w:rPr>
          <w:rFonts w:ascii="Century Gothic" w:hAnsi="Century Gothic"/>
          <w:sz w:val="24"/>
          <w:szCs w:val="24"/>
        </w:rPr>
      </w:pPr>
      <w:r>
        <w:rPr>
          <w:rFonts w:ascii="Century Gothic" w:hAnsi="Century Gothic"/>
          <w:sz w:val="24"/>
          <w:szCs w:val="24"/>
        </w:rPr>
        <w:t>Tim Rolfe (volunteer worker at Lambeth Law Centre).</w:t>
      </w:r>
    </w:p>
    <w:p w:rsidR="00254F15" w:rsidRDefault="00254F15">
      <w:pPr>
        <w:spacing w:after="180"/>
        <w:rPr>
          <w:rFonts w:ascii="Century Gothic" w:hAnsi="Century Gothic"/>
          <w:sz w:val="24"/>
          <w:szCs w:val="24"/>
        </w:rPr>
      </w:pPr>
      <w:r>
        <w:rPr>
          <w:rFonts w:ascii="Century Gothic" w:hAnsi="Century Gothic"/>
          <w:sz w:val="24"/>
          <w:szCs w:val="24"/>
        </w:rPr>
        <w:br w:type="page"/>
      </w:r>
    </w:p>
    <w:p w:rsidR="00F013FF" w:rsidRDefault="00F013FF" w:rsidP="00B2407D">
      <w:pPr>
        <w:pStyle w:val="BodyText"/>
        <w:spacing w:after="0" w:line="360" w:lineRule="auto"/>
        <w:rPr>
          <w:rFonts w:ascii="Century Gothic" w:hAnsi="Century Gothic"/>
          <w:sz w:val="24"/>
          <w:szCs w:val="24"/>
        </w:rPr>
      </w:pPr>
    </w:p>
    <w:p w:rsidR="005D373A" w:rsidRPr="005D373A" w:rsidRDefault="005D373A" w:rsidP="00181F0E">
      <w:pPr>
        <w:pStyle w:val="BodyText"/>
        <w:numPr>
          <w:ilvl w:val="0"/>
          <w:numId w:val="37"/>
        </w:numPr>
        <w:spacing w:after="0" w:line="360" w:lineRule="auto"/>
        <w:rPr>
          <w:rFonts w:ascii="Century Gothic" w:hAnsi="Century Gothic"/>
          <w:i/>
          <w:sz w:val="24"/>
          <w:szCs w:val="24"/>
        </w:rPr>
      </w:pPr>
      <w:r w:rsidRPr="005D373A">
        <w:rPr>
          <w:rFonts w:ascii="Century Gothic" w:hAnsi="Century Gothic"/>
          <w:i/>
          <w:sz w:val="24"/>
          <w:szCs w:val="24"/>
        </w:rPr>
        <w:t>Introduction</w:t>
      </w:r>
    </w:p>
    <w:p w:rsidR="005D373A" w:rsidRDefault="005D373A" w:rsidP="00B2407D">
      <w:pPr>
        <w:pStyle w:val="BodyText"/>
        <w:spacing w:after="0" w:line="360" w:lineRule="auto"/>
        <w:rPr>
          <w:rFonts w:ascii="Century Gothic" w:hAnsi="Century Gothic"/>
          <w:sz w:val="24"/>
          <w:szCs w:val="24"/>
        </w:rPr>
      </w:pPr>
    </w:p>
    <w:p w:rsidR="005B7F0F" w:rsidRDefault="005D373A" w:rsidP="00B2407D">
      <w:pPr>
        <w:pStyle w:val="BodyText"/>
        <w:spacing w:after="0" w:line="360" w:lineRule="auto"/>
        <w:rPr>
          <w:rFonts w:ascii="Century Gothic" w:hAnsi="Century Gothic"/>
          <w:sz w:val="24"/>
          <w:szCs w:val="24"/>
        </w:rPr>
      </w:pPr>
      <w:r>
        <w:rPr>
          <w:rFonts w:ascii="Century Gothic" w:hAnsi="Century Gothic"/>
          <w:sz w:val="24"/>
          <w:szCs w:val="24"/>
        </w:rPr>
        <w:t xml:space="preserve">Lambeth Law Centre </w:t>
      </w:r>
      <w:r w:rsidR="00BF1CD4">
        <w:rPr>
          <w:rFonts w:ascii="Century Gothic" w:hAnsi="Century Gothic"/>
          <w:sz w:val="24"/>
          <w:szCs w:val="24"/>
        </w:rPr>
        <w:t>w</w:t>
      </w:r>
      <w:r>
        <w:rPr>
          <w:rFonts w:ascii="Century Gothic" w:hAnsi="Century Gothic"/>
          <w:sz w:val="24"/>
          <w:szCs w:val="24"/>
        </w:rPr>
        <w:t xml:space="preserve">as </w:t>
      </w:r>
      <w:r w:rsidR="00BF1CD4">
        <w:rPr>
          <w:rFonts w:ascii="Century Gothic" w:hAnsi="Century Gothic"/>
          <w:sz w:val="24"/>
          <w:szCs w:val="24"/>
        </w:rPr>
        <w:t>a</w:t>
      </w:r>
      <w:r>
        <w:rPr>
          <w:rFonts w:ascii="Century Gothic" w:hAnsi="Century Gothic"/>
          <w:sz w:val="24"/>
          <w:szCs w:val="24"/>
        </w:rPr>
        <w:t>warded</w:t>
      </w:r>
      <w:r w:rsidR="00596948">
        <w:rPr>
          <w:rFonts w:ascii="Century Gothic" w:hAnsi="Century Gothic"/>
          <w:sz w:val="24"/>
          <w:szCs w:val="24"/>
        </w:rPr>
        <w:t xml:space="preserve"> funding by the Strategic Legal Fund</w:t>
      </w:r>
      <w:r w:rsidR="005144BF">
        <w:rPr>
          <w:rFonts w:ascii="Century Gothic" w:hAnsi="Century Gothic"/>
          <w:sz w:val="24"/>
          <w:szCs w:val="24"/>
        </w:rPr>
        <w:t xml:space="preserve"> to c</w:t>
      </w:r>
      <w:r w:rsidR="002C4E9E">
        <w:rPr>
          <w:rFonts w:ascii="Century Gothic" w:hAnsi="Century Gothic"/>
          <w:sz w:val="24"/>
          <w:szCs w:val="24"/>
        </w:rPr>
        <w:t>arry out</w:t>
      </w:r>
      <w:r w:rsidR="005144BF">
        <w:rPr>
          <w:rFonts w:ascii="Century Gothic" w:hAnsi="Century Gothic"/>
          <w:sz w:val="24"/>
          <w:szCs w:val="24"/>
        </w:rPr>
        <w:t xml:space="preserve"> </w:t>
      </w:r>
      <w:r w:rsidR="00596948">
        <w:rPr>
          <w:rFonts w:ascii="Century Gothic" w:hAnsi="Century Gothic"/>
          <w:sz w:val="24"/>
          <w:szCs w:val="24"/>
        </w:rPr>
        <w:t xml:space="preserve">research exploring the </w:t>
      </w:r>
      <w:r w:rsidR="008B511B">
        <w:rPr>
          <w:rFonts w:ascii="Century Gothic" w:hAnsi="Century Gothic"/>
          <w:sz w:val="24"/>
          <w:szCs w:val="24"/>
        </w:rPr>
        <w:t xml:space="preserve">impact of insecure immigration status on </w:t>
      </w:r>
      <w:r w:rsidR="00596948">
        <w:rPr>
          <w:rFonts w:ascii="Century Gothic" w:hAnsi="Century Gothic"/>
          <w:sz w:val="24"/>
          <w:szCs w:val="24"/>
        </w:rPr>
        <w:t>families</w:t>
      </w:r>
      <w:r w:rsidR="008B511B">
        <w:rPr>
          <w:rFonts w:ascii="Century Gothic" w:hAnsi="Century Gothic"/>
          <w:sz w:val="24"/>
          <w:szCs w:val="24"/>
        </w:rPr>
        <w:t xml:space="preserve"> </w:t>
      </w:r>
      <w:r w:rsidR="00596948">
        <w:rPr>
          <w:rFonts w:ascii="Century Gothic" w:hAnsi="Century Gothic"/>
          <w:sz w:val="24"/>
          <w:szCs w:val="24"/>
        </w:rPr>
        <w:t>children</w:t>
      </w:r>
      <w:r w:rsidR="008B511B">
        <w:rPr>
          <w:rFonts w:ascii="Century Gothic" w:hAnsi="Century Gothic"/>
          <w:sz w:val="24"/>
          <w:szCs w:val="24"/>
        </w:rPr>
        <w:t xml:space="preserve"> and young people, in particular those </w:t>
      </w:r>
      <w:r w:rsidR="005144BF">
        <w:rPr>
          <w:rFonts w:ascii="Century Gothic" w:hAnsi="Century Gothic"/>
          <w:sz w:val="24"/>
          <w:szCs w:val="24"/>
        </w:rPr>
        <w:t xml:space="preserve">(without regular immigration status ) </w:t>
      </w:r>
      <w:r w:rsidR="008B511B">
        <w:rPr>
          <w:rFonts w:ascii="Century Gothic" w:hAnsi="Century Gothic"/>
          <w:sz w:val="24"/>
          <w:szCs w:val="24"/>
        </w:rPr>
        <w:t xml:space="preserve">applying for residence cards under derivative rights of residence and </w:t>
      </w:r>
      <w:r w:rsidR="008E2953">
        <w:rPr>
          <w:rFonts w:ascii="Century Gothic" w:hAnsi="Century Gothic"/>
          <w:sz w:val="24"/>
          <w:szCs w:val="24"/>
        </w:rPr>
        <w:t xml:space="preserve">those applying </w:t>
      </w:r>
      <w:r w:rsidR="008B511B">
        <w:rPr>
          <w:rFonts w:ascii="Century Gothic" w:hAnsi="Century Gothic"/>
          <w:sz w:val="24"/>
          <w:szCs w:val="24"/>
        </w:rPr>
        <w:t>under the family and</w:t>
      </w:r>
      <w:r w:rsidR="00F013FF">
        <w:rPr>
          <w:rFonts w:ascii="Century Gothic" w:hAnsi="Century Gothic"/>
          <w:sz w:val="24"/>
          <w:szCs w:val="24"/>
        </w:rPr>
        <w:t>/or</w:t>
      </w:r>
      <w:r w:rsidR="008B511B">
        <w:rPr>
          <w:rFonts w:ascii="Century Gothic" w:hAnsi="Century Gothic"/>
          <w:sz w:val="24"/>
          <w:szCs w:val="24"/>
        </w:rPr>
        <w:t xml:space="preserve"> private life immigration rules and Article 8</w:t>
      </w:r>
      <w:r w:rsidR="00F013FF">
        <w:rPr>
          <w:rFonts w:ascii="Century Gothic" w:hAnsi="Century Gothic"/>
          <w:sz w:val="24"/>
          <w:szCs w:val="24"/>
        </w:rPr>
        <w:t xml:space="preserve"> ECHR</w:t>
      </w:r>
      <w:r w:rsidR="008B511B">
        <w:rPr>
          <w:rFonts w:ascii="Century Gothic" w:hAnsi="Century Gothic"/>
          <w:sz w:val="24"/>
          <w:szCs w:val="24"/>
        </w:rPr>
        <w:t xml:space="preserve">. </w:t>
      </w:r>
    </w:p>
    <w:p w:rsidR="008B511B" w:rsidRDefault="008B511B" w:rsidP="00B2407D">
      <w:pPr>
        <w:pStyle w:val="BodyText"/>
        <w:spacing w:after="0" w:line="360" w:lineRule="auto"/>
        <w:rPr>
          <w:rFonts w:ascii="Century Gothic" w:hAnsi="Century Gothic"/>
          <w:sz w:val="24"/>
          <w:szCs w:val="24"/>
        </w:rPr>
      </w:pPr>
    </w:p>
    <w:p w:rsidR="003E0930" w:rsidRDefault="00500430" w:rsidP="00500430">
      <w:pPr>
        <w:pStyle w:val="BodyText"/>
        <w:spacing w:after="0" w:line="360" w:lineRule="auto"/>
        <w:rPr>
          <w:rFonts w:ascii="Century Gothic" w:hAnsi="Century Gothic"/>
          <w:sz w:val="24"/>
          <w:szCs w:val="24"/>
        </w:rPr>
      </w:pPr>
      <w:r>
        <w:rPr>
          <w:rFonts w:ascii="Century Gothic" w:hAnsi="Century Gothic"/>
          <w:sz w:val="24"/>
          <w:szCs w:val="24"/>
        </w:rPr>
        <w:t xml:space="preserve">The research came about because </w:t>
      </w:r>
      <w:r w:rsidR="005144BF">
        <w:rPr>
          <w:rFonts w:ascii="Century Gothic" w:hAnsi="Century Gothic"/>
          <w:sz w:val="24"/>
          <w:szCs w:val="24"/>
        </w:rPr>
        <w:t>the</w:t>
      </w:r>
      <w:r>
        <w:rPr>
          <w:rFonts w:ascii="Century Gothic" w:hAnsi="Century Gothic"/>
          <w:sz w:val="24"/>
          <w:szCs w:val="24"/>
        </w:rPr>
        <w:t xml:space="preserve"> Law Centre represents numerous clients </w:t>
      </w:r>
      <w:r w:rsidR="002C4E9E">
        <w:rPr>
          <w:rFonts w:ascii="Century Gothic" w:hAnsi="Century Gothic"/>
          <w:sz w:val="24"/>
          <w:szCs w:val="24"/>
        </w:rPr>
        <w:t xml:space="preserve">with or who </w:t>
      </w:r>
      <w:r w:rsidR="00B24C2A">
        <w:rPr>
          <w:rFonts w:ascii="Century Gothic" w:hAnsi="Century Gothic"/>
          <w:sz w:val="24"/>
          <w:szCs w:val="24"/>
        </w:rPr>
        <w:t xml:space="preserve">have </w:t>
      </w:r>
      <w:r>
        <w:rPr>
          <w:rFonts w:ascii="Century Gothic" w:hAnsi="Century Gothic"/>
          <w:sz w:val="24"/>
          <w:szCs w:val="24"/>
        </w:rPr>
        <w:t xml:space="preserve">had irregular immigration status, </w:t>
      </w:r>
      <w:r w:rsidR="00B24C2A">
        <w:rPr>
          <w:rFonts w:ascii="Century Gothic" w:hAnsi="Century Gothic"/>
          <w:sz w:val="24"/>
          <w:szCs w:val="24"/>
        </w:rPr>
        <w:t xml:space="preserve">and </w:t>
      </w:r>
      <w:r w:rsidR="002871E9">
        <w:rPr>
          <w:rFonts w:ascii="Century Gothic" w:hAnsi="Century Gothic"/>
          <w:sz w:val="24"/>
          <w:szCs w:val="24"/>
        </w:rPr>
        <w:t xml:space="preserve">who </w:t>
      </w:r>
      <w:r>
        <w:rPr>
          <w:rFonts w:ascii="Century Gothic" w:hAnsi="Century Gothic"/>
          <w:sz w:val="24"/>
          <w:szCs w:val="24"/>
        </w:rPr>
        <w:t>are children</w:t>
      </w:r>
      <w:r w:rsidR="002871E9">
        <w:rPr>
          <w:rFonts w:ascii="Century Gothic" w:hAnsi="Century Gothic"/>
          <w:sz w:val="24"/>
          <w:szCs w:val="24"/>
        </w:rPr>
        <w:t xml:space="preserve"> or </w:t>
      </w:r>
      <w:r>
        <w:rPr>
          <w:rFonts w:ascii="Century Gothic" w:hAnsi="Century Gothic"/>
          <w:sz w:val="24"/>
          <w:szCs w:val="24"/>
        </w:rPr>
        <w:t>young people</w:t>
      </w:r>
      <w:r w:rsidR="002C4E9E">
        <w:rPr>
          <w:rFonts w:ascii="Century Gothic" w:hAnsi="Century Gothic"/>
          <w:sz w:val="24"/>
          <w:szCs w:val="24"/>
        </w:rPr>
        <w:t xml:space="preserve"> and</w:t>
      </w:r>
      <w:r>
        <w:rPr>
          <w:rFonts w:ascii="Century Gothic" w:hAnsi="Century Gothic"/>
          <w:sz w:val="24"/>
          <w:szCs w:val="24"/>
        </w:rPr>
        <w:t xml:space="preserve"> families. </w:t>
      </w:r>
      <w:r w:rsidR="00B24C2A">
        <w:rPr>
          <w:rFonts w:ascii="Century Gothic" w:hAnsi="Century Gothic"/>
          <w:sz w:val="24"/>
          <w:szCs w:val="24"/>
        </w:rPr>
        <w:t xml:space="preserve">We </w:t>
      </w:r>
      <w:r w:rsidR="002C4E9E">
        <w:rPr>
          <w:rFonts w:ascii="Century Gothic" w:hAnsi="Century Gothic"/>
          <w:sz w:val="24"/>
          <w:szCs w:val="24"/>
        </w:rPr>
        <w:t xml:space="preserve">have been and continue to </w:t>
      </w:r>
      <w:r w:rsidR="008E2953">
        <w:rPr>
          <w:rFonts w:ascii="Century Gothic" w:hAnsi="Century Gothic"/>
          <w:sz w:val="24"/>
          <w:szCs w:val="24"/>
        </w:rPr>
        <w:t>tak</w:t>
      </w:r>
      <w:r w:rsidR="002C4E9E">
        <w:rPr>
          <w:rFonts w:ascii="Century Gothic" w:hAnsi="Century Gothic"/>
          <w:sz w:val="24"/>
          <w:szCs w:val="24"/>
        </w:rPr>
        <w:t>e</w:t>
      </w:r>
      <w:r w:rsidR="008E2953">
        <w:rPr>
          <w:rFonts w:ascii="Century Gothic" w:hAnsi="Century Gothic"/>
          <w:sz w:val="24"/>
          <w:szCs w:val="24"/>
        </w:rPr>
        <w:t xml:space="preserve"> instructions from clients</w:t>
      </w:r>
      <w:r w:rsidR="00B24C2A">
        <w:rPr>
          <w:rFonts w:ascii="Century Gothic" w:hAnsi="Century Gothic"/>
          <w:sz w:val="24"/>
          <w:szCs w:val="24"/>
        </w:rPr>
        <w:t xml:space="preserve"> </w:t>
      </w:r>
      <w:r>
        <w:rPr>
          <w:rFonts w:ascii="Century Gothic" w:hAnsi="Century Gothic"/>
          <w:sz w:val="24"/>
          <w:szCs w:val="24"/>
        </w:rPr>
        <w:t>living in poverty</w:t>
      </w:r>
      <w:r w:rsidR="002C4E9E">
        <w:rPr>
          <w:rFonts w:ascii="Century Gothic" w:hAnsi="Century Gothic"/>
          <w:sz w:val="24"/>
          <w:szCs w:val="24"/>
        </w:rPr>
        <w:t xml:space="preserve">, </w:t>
      </w:r>
      <w:r>
        <w:rPr>
          <w:rFonts w:ascii="Century Gothic" w:hAnsi="Century Gothic"/>
          <w:sz w:val="24"/>
          <w:szCs w:val="24"/>
        </w:rPr>
        <w:t xml:space="preserve">under extreme stress, </w:t>
      </w:r>
      <w:r w:rsidR="00B24C2A">
        <w:rPr>
          <w:rFonts w:ascii="Century Gothic" w:hAnsi="Century Gothic"/>
          <w:sz w:val="24"/>
          <w:szCs w:val="24"/>
        </w:rPr>
        <w:t xml:space="preserve">and </w:t>
      </w:r>
      <w:r w:rsidR="008E2953">
        <w:rPr>
          <w:rFonts w:ascii="Century Gothic" w:hAnsi="Century Gothic"/>
          <w:sz w:val="24"/>
          <w:szCs w:val="24"/>
        </w:rPr>
        <w:t xml:space="preserve">often </w:t>
      </w:r>
      <w:r w:rsidR="002C4E9E">
        <w:rPr>
          <w:rFonts w:ascii="Century Gothic" w:hAnsi="Century Gothic"/>
          <w:sz w:val="24"/>
          <w:szCs w:val="24"/>
        </w:rPr>
        <w:t xml:space="preserve">living in </w:t>
      </w:r>
      <w:r w:rsidR="008E2953">
        <w:rPr>
          <w:rFonts w:ascii="Century Gothic" w:hAnsi="Century Gothic"/>
          <w:sz w:val="24"/>
          <w:szCs w:val="24"/>
        </w:rPr>
        <w:t>inadequate</w:t>
      </w:r>
      <w:r w:rsidR="00B24C2A">
        <w:rPr>
          <w:rFonts w:ascii="Century Gothic" w:hAnsi="Century Gothic"/>
          <w:sz w:val="24"/>
          <w:szCs w:val="24"/>
        </w:rPr>
        <w:t xml:space="preserve"> housing</w:t>
      </w:r>
      <w:r w:rsidR="008E2953">
        <w:rPr>
          <w:rFonts w:ascii="Century Gothic" w:hAnsi="Century Gothic"/>
          <w:sz w:val="24"/>
          <w:szCs w:val="24"/>
        </w:rPr>
        <w:t xml:space="preserve">. </w:t>
      </w:r>
      <w:r w:rsidR="002C4E9E">
        <w:rPr>
          <w:rFonts w:ascii="Century Gothic" w:hAnsi="Century Gothic"/>
          <w:sz w:val="24"/>
          <w:szCs w:val="24"/>
        </w:rPr>
        <w:t xml:space="preserve">Surprisingly these clients are often </w:t>
      </w:r>
      <w:r>
        <w:rPr>
          <w:rFonts w:ascii="Century Gothic" w:hAnsi="Century Gothic"/>
          <w:sz w:val="24"/>
          <w:szCs w:val="24"/>
        </w:rPr>
        <w:t>supported by the local authority under s17 Children Act duties</w:t>
      </w:r>
      <w:r w:rsidR="002C4E9E">
        <w:rPr>
          <w:rFonts w:ascii="Century Gothic" w:hAnsi="Century Gothic"/>
          <w:sz w:val="24"/>
          <w:szCs w:val="24"/>
        </w:rPr>
        <w:t xml:space="preserve"> or</w:t>
      </w:r>
      <w:r>
        <w:rPr>
          <w:rFonts w:ascii="Century Gothic" w:hAnsi="Century Gothic"/>
          <w:sz w:val="24"/>
          <w:szCs w:val="24"/>
        </w:rPr>
        <w:t xml:space="preserve"> children leaving care provisions</w:t>
      </w:r>
      <w:r w:rsidR="002C4E9E">
        <w:rPr>
          <w:rFonts w:ascii="Century Gothic" w:hAnsi="Century Gothic"/>
          <w:sz w:val="24"/>
          <w:szCs w:val="24"/>
        </w:rPr>
        <w:t xml:space="preserve">. </w:t>
      </w:r>
      <w:r w:rsidR="005A4A6A">
        <w:rPr>
          <w:rFonts w:ascii="Century Gothic" w:hAnsi="Century Gothic"/>
          <w:sz w:val="24"/>
          <w:szCs w:val="24"/>
        </w:rPr>
        <w:t>Many are</w:t>
      </w:r>
      <w:r w:rsidR="00B24C2A">
        <w:rPr>
          <w:rFonts w:ascii="Century Gothic" w:hAnsi="Century Gothic"/>
          <w:sz w:val="24"/>
          <w:szCs w:val="24"/>
        </w:rPr>
        <w:t xml:space="preserve"> </w:t>
      </w:r>
      <w:r>
        <w:rPr>
          <w:rFonts w:ascii="Century Gothic" w:hAnsi="Century Gothic"/>
          <w:sz w:val="24"/>
          <w:szCs w:val="24"/>
        </w:rPr>
        <w:t>living with friends</w:t>
      </w:r>
      <w:r w:rsidR="002C4E9E">
        <w:rPr>
          <w:rFonts w:ascii="Century Gothic" w:hAnsi="Century Gothic"/>
          <w:sz w:val="24"/>
          <w:szCs w:val="24"/>
        </w:rPr>
        <w:t xml:space="preserve">, </w:t>
      </w:r>
      <w:r w:rsidR="005A4A6A">
        <w:rPr>
          <w:rFonts w:ascii="Century Gothic" w:hAnsi="Century Gothic"/>
          <w:sz w:val="24"/>
          <w:szCs w:val="24"/>
        </w:rPr>
        <w:t>moving between addresses</w:t>
      </w:r>
      <w:r>
        <w:rPr>
          <w:rFonts w:ascii="Century Gothic" w:hAnsi="Century Gothic"/>
          <w:sz w:val="24"/>
          <w:szCs w:val="24"/>
        </w:rPr>
        <w:t xml:space="preserve">, with one remaining in an abusive and violent situation </w:t>
      </w:r>
      <w:r w:rsidR="00B24C2A">
        <w:rPr>
          <w:rFonts w:ascii="Century Gothic" w:hAnsi="Century Gothic"/>
          <w:sz w:val="24"/>
          <w:szCs w:val="24"/>
        </w:rPr>
        <w:t xml:space="preserve">rather than become street homeless. Many </w:t>
      </w:r>
      <w:r>
        <w:rPr>
          <w:rFonts w:ascii="Century Gothic" w:hAnsi="Century Gothic"/>
          <w:sz w:val="24"/>
          <w:szCs w:val="24"/>
        </w:rPr>
        <w:t>clients</w:t>
      </w:r>
      <w:r w:rsidR="00890CE7">
        <w:rPr>
          <w:rFonts w:ascii="Century Gothic" w:hAnsi="Century Gothic"/>
          <w:sz w:val="24"/>
          <w:szCs w:val="24"/>
        </w:rPr>
        <w:t>, even those being supported by the local authority,</w:t>
      </w:r>
      <w:r>
        <w:rPr>
          <w:rFonts w:ascii="Century Gothic" w:hAnsi="Century Gothic"/>
          <w:sz w:val="24"/>
          <w:szCs w:val="24"/>
        </w:rPr>
        <w:t xml:space="preserve"> </w:t>
      </w:r>
      <w:r w:rsidR="002C4E9E">
        <w:rPr>
          <w:rFonts w:ascii="Century Gothic" w:hAnsi="Century Gothic"/>
          <w:sz w:val="24"/>
          <w:szCs w:val="24"/>
        </w:rPr>
        <w:t>are</w:t>
      </w:r>
      <w:r>
        <w:rPr>
          <w:rFonts w:ascii="Century Gothic" w:hAnsi="Century Gothic"/>
          <w:sz w:val="24"/>
          <w:szCs w:val="24"/>
        </w:rPr>
        <w:t xml:space="preserve"> regularly going without food themselves in order to feed their </w:t>
      </w:r>
      <w:proofErr w:type="gramStart"/>
      <w:r>
        <w:rPr>
          <w:rFonts w:ascii="Century Gothic" w:hAnsi="Century Gothic"/>
          <w:sz w:val="24"/>
          <w:szCs w:val="24"/>
        </w:rPr>
        <w:t>children,</w:t>
      </w:r>
      <w:proofErr w:type="gramEnd"/>
      <w:r>
        <w:rPr>
          <w:rFonts w:ascii="Century Gothic" w:hAnsi="Century Gothic"/>
          <w:sz w:val="24"/>
          <w:szCs w:val="24"/>
        </w:rPr>
        <w:t xml:space="preserve"> </w:t>
      </w:r>
      <w:r w:rsidR="002871E9">
        <w:rPr>
          <w:rFonts w:ascii="Century Gothic" w:hAnsi="Century Gothic"/>
          <w:sz w:val="24"/>
          <w:szCs w:val="24"/>
        </w:rPr>
        <w:t xml:space="preserve">they </w:t>
      </w:r>
      <w:r w:rsidR="002C4E9E">
        <w:rPr>
          <w:rFonts w:ascii="Century Gothic" w:hAnsi="Century Gothic"/>
          <w:sz w:val="24"/>
          <w:szCs w:val="24"/>
        </w:rPr>
        <w:t>are</w:t>
      </w:r>
      <w:r w:rsidR="00B24C2A">
        <w:rPr>
          <w:rFonts w:ascii="Century Gothic" w:hAnsi="Century Gothic"/>
          <w:sz w:val="24"/>
          <w:szCs w:val="24"/>
        </w:rPr>
        <w:t xml:space="preserve"> </w:t>
      </w:r>
      <w:r>
        <w:rPr>
          <w:rFonts w:ascii="Century Gothic" w:hAnsi="Century Gothic"/>
          <w:sz w:val="24"/>
          <w:szCs w:val="24"/>
        </w:rPr>
        <w:t>unable to buy shoes or school uniforms, or essential clothing for their children</w:t>
      </w:r>
      <w:r w:rsidR="008C69D5">
        <w:rPr>
          <w:rFonts w:ascii="Century Gothic" w:hAnsi="Century Gothic"/>
          <w:sz w:val="24"/>
          <w:szCs w:val="24"/>
        </w:rPr>
        <w:t>. T</w:t>
      </w:r>
      <w:r>
        <w:rPr>
          <w:rFonts w:ascii="Century Gothic" w:hAnsi="Century Gothic"/>
          <w:sz w:val="24"/>
          <w:szCs w:val="24"/>
        </w:rPr>
        <w:t>he grant of leave to remain</w:t>
      </w:r>
      <w:r w:rsidR="003E0930">
        <w:rPr>
          <w:rFonts w:ascii="Century Gothic" w:hAnsi="Century Gothic"/>
          <w:sz w:val="24"/>
          <w:szCs w:val="24"/>
        </w:rPr>
        <w:t xml:space="preserve"> or </w:t>
      </w:r>
      <w:r>
        <w:rPr>
          <w:rFonts w:ascii="Century Gothic" w:hAnsi="Century Gothic"/>
          <w:sz w:val="24"/>
          <w:szCs w:val="24"/>
        </w:rPr>
        <w:t xml:space="preserve">issue of </w:t>
      </w:r>
      <w:r w:rsidR="00B24C2A">
        <w:rPr>
          <w:rFonts w:ascii="Century Gothic" w:hAnsi="Century Gothic"/>
          <w:sz w:val="24"/>
          <w:szCs w:val="24"/>
        </w:rPr>
        <w:t xml:space="preserve">a </w:t>
      </w:r>
      <w:r>
        <w:rPr>
          <w:rFonts w:ascii="Century Gothic" w:hAnsi="Century Gothic"/>
          <w:sz w:val="24"/>
          <w:szCs w:val="24"/>
        </w:rPr>
        <w:t>residence card d</w:t>
      </w:r>
      <w:r w:rsidR="003E0930">
        <w:rPr>
          <w:rFonts w:ascii="Century Gothic" w:hAnsi="Century Gothic"/>
          <w:sz w:val="24"/>
          <w:szCs w:val="24"/>
        </w:rPr>
        <w:t>oes</w:t>
      </w:r>
      <w:r>
        <w:rPr>
          <w:rFonts w:ascii="Century Gothic" w:hAnsi="Century Gothic"/>
          <w:sz w:val="24"/>
          <w:szCs w:val="24"/>
        </w:rPr>
        <w:t xml:space="preserve"> not result in an improvement</w:t>
      </w:r>
      <w:r w:rsidR="00281157">
        <w:rPr>
          <w:rFonts w:ascii="Century Gothic" w:hAnsi="Century Gothic"/>
          <w:sz w:val="24"/>
          <w:szCs w:val="24"/>
        </w:rPr>
        <w:t xml:space="preserve">; these vulnerable clients </w:t>
      </w:r>
      <w:r w:rsidR="003E0930">
        <w:rPr>
          <w:rFonts w:ascii="Century Gothic" w:hAnsi="Century Gothic"/>
          <w:sz w:val="24"/>
          <w:szCs w:val="24"/>
        </w:rPr>
        <w:t>have been and continue to be</w:t>
      </w:r>
      <w:r w:rsidR="00281157">
        <w:rPr>
          <w:rFonts w:ascii="Century Gothic" w:hAnsi="Century Gothic"/>
          <w:sz w:val="24"/>
          <w:szCs w:val="24"/>
        </w:rPr>
        <w:t xml:space="preserve"> at the receiving end of policy seeking to make a </w:t>
      </w:r>
      <w:hyperlink r:id="rId8" w:history="1">
        <w:r w:rsidR="00281157" w:rsidRPr="00006007">
          <w:rPr>
            <w:rStyle w:val="Hyperlink"/>
            <w:rFonts w:ascii="Century Gothic" w:hAnsi="Century Gothic"/>
            <w:sz w:val="24"/>
            <w:szCs w:val="24"/>
          </w:rPr>
          <w:t>deliberately hostile environment</w:t>
        </w:r>
      </w:hyperlink>
      <w:r w:rsidR="00281157">
        <w:rPr>
          <w:rFonts w:ascii="Century Gothic" w:hAnsi="Century Gothic"/>
          <w:sz w:val="24"/>
          <w:szCs w:val="24"/>
        </w:rPr>
        <w:t xml:space="preserve"> for </w:t>
      </w:r>
      <w:r w:rsidR="00006007">
        <w:rPr>
          <w:rFonts w:ascii="Century Gothic" w:hAnsi="Century Gothic"/>
          <w:sz w:val="24"/>
          <w:szCs w:val="24"/>
        </w:rPr>
        <w:t>migrants</w:t>
      </w:r>
      <w:r>
        <w:rPr>
          <w:rFonts w:ascii="Century Gothic" w:hAnsi="Century Gothic"/>
          <w:sz w:val="24"/>
          <w:szCs w:val="24"/>
        </w:rPr>
        <w:t xml:space="preserve">.   </w:t>
      </w:r>
    </w:p>
    <w:p w:rsidR="003E0930" w:rsidRDefault="003E0930" w:rsidP="00500430">
      <w:pPr>
        <w:pStyle w:val="BodyText"/>
        <w:spacing w:after="0" w:line="360" w:lineRule="auto"/>
        <w:rPr>
          <w:rFonts w:ascii="Century Gothic" w:hAnsi="Century Gothic"/>
          <w:sz w:val="24"/>
          <w:szCs w:val="24"/>
        </w:rPr>
      </w:pPr>
    </w:p>
    <w:p w:rsidR="00500430" w:rsidRDefault="00500430" w:rsidP="00500430">
      <w:pPr>
        <w:pStyle w:val="BodyText"/>
        <w:spacing w:after="0" w:line="360" w:lineRule="auto"/>
        <w:rPr>
          <w:rFonts w:ascii="Century Gothic" w:hAnsi="Century Gothic"/>
          <w:sz w:val="24"/>
          <w:szCs w:val="24"/>
        </w:rPr>
      </w:pPr>
      <w:r>
        <w:rPr>
          <w:rFonts w:ascii="Century Gothic" w:hAnsi="Century Gothic"/>
          <w:sz w:val="24"/>
          <w:szCs w:val="24"/>
        </w:rPr>
        <w:t xml:space="preserve">We had also obtained a </w:t>
      </w:r>
      <w:r w:rsidR="00B24C2A">
        <w:rPr>
          <w:rFonts w:ascii="Century Gothic" w:hAnsi="Century Gothic"/>
          <w:sz w:val="24"/>
          <w:szCs w:val="24"/>
        </w:rPr>
        <w:t xml:space="preserve">psychologist’s </w:t>
      </w:r>
      <w:r>
        <w:rPr>
          <w:rFonts w:ascii="Century Gothic" w:hAnsi="Century Gothic"/>
          <w:sz w:val="24"/>
          <w:szCs w:val="24"/>
        </w:rPr>
        <w:t xml:space="preserve">report </w:t>
      </w:r>
      <w:r w:rsidR="008E2953">
        <w:rPr>
          <w:rFonts w:ascii="Century Gothic" w:hAnsi="Century Gothic"/>
          <w:sz w:val="24"/>
          <w:szCs w:val="24"/>
        </w:rPr>
        <w:t xml:space="preserve">for the purpose of </w:t>
      </w:r>
      <w:r>
        <w:rPr>
          <w:rFonts w:ascii="Century Gothic" w:hAnsi="Century Gothic"/>
          <w:sz w:val="24"/>
          <w:szCs w:val="24"/>
        </w:rPr>
        <w:t xml:space="preserve">judicial review proceedings </w:t>
      </w:r>
      <w:r w:rsidR="008E2953">
        <w:rPr>
          <w:rFonts w:ascii="Century Gothic" w:hAnsi="Century Gothic"/>
          <w:sz w:val="24"/>
          <w:szCs w:val="24"/>
        </w:rPr>
        <w:t xml:space="preserve">in </w:t>
      </w:r>
      <w:r w:rsidR="002C4E9E">
        <w:rPr>
          <w:rFonts w:ascii="Century Gothic" w:hAnsi="Century Gothic"/>
          <w:sz w:val="24"/>
          <w:szCs w:val="24"/>
        </w:rPr>
        <w:t xml:space="preserve">one </w:t>
      </w:r>
      <w:r w:rsidR="008E2953">
        <w:rPr>
          <w:rFonts w:ascii="Century Gothic" w:hAnsi="Century Gothic"/>
          <w:sz w:val="24"/>
          <w:szCs w:val="24"/>
        </w:rPr>
        <w:t xml:space="preserve">case </w:t>
      </w:r>
      <w:r>
        <w:rPr>
          <w:rFonts w:ascii="Century Gothic" w:hAnsi="Century Gothic"/>
          <w:sz w:val="24"/>
          <w:szCs w:val="24"/>
        </w:rPr>
        <w:t>that referred to research about the detrimental impact on children</w:t>
      </w:r>
      <w:r w:rsidR="00B24C2A">
        <w:rPr>
          <w:rFonts w:ascii="Century Gothic" w:hAnsi="Century Gothic"/>
          <w:sz w:val="24"/>
          <w:szCs w:val="24"/>
        </w:rPr>
        <w:t>’s wellbeing</w:t>
      </w:r>
      <w:r>
        <w:rPr>
          <w:rFonts w:ascii="Century Gothic" w:hAnsi="Century Gothic"/>
          <w:sz w:val="24"/>
          <w:szCs w:val="24"/>
        </w:rPr>
        <w:t xml:space="preserve"> of having an insecure immigration status</w:t>
      </w:r>
      <w:r w:rsidR="00B24C2A">
        <w:rPr>
          <w:rFonts w:ascii="Century Gothic" w:hAnsi="Century Gothic"/>
          <w:sz w:val="24"/>
          <w:szCs w:val="24"/>
        </w:rPr>
        <w:t>,</w:t>
      </w:r>
      <w:r>
        <w:rPr>
          <w:rFonts w:ascii="Century Gothic" w:hAnsi="Century Gothic"/>
          <w:sz w:val="24"/>
          <w:szCs w:val="24"/>
        </w:rPr>
        <w:t xml:space="preserve"> or their parents having limited leave to remain, in </w:t>
      </w:r>
      <w:r>
        <w:rPr>
          <w:rFonts w:ascii="Century Gothic" w:hAnsi="Century Gothic"/>
          <w:sz w:val="24"/>
          <w:szCs w:val="24"/>
        </w:rPr>
        <w:lastRenderedPageBreak/>
        <w:t xml:space="preserve">terms of risk of mental health issues, performance at school and life chances in general. </w:t>
      </w:r>
      <w:r w:rsidR="00006007">
        <w:rPr>
          <w:rStyle w:val="FootnoteReference"/>
          <w:rFonts w:ascii="Century Gothic" w:hAnsi="Century Gothic"/>
          <w:sz w:val="24"/>
          <w:szCs w:val="24"/>
        </w:rPr>
        <w:footnoteReference w:id="1"/>
      </w:r>
      <w:r>
        <w:rPr>
          <w:rFonts w:ascii="Century Gothic" w:hAnsi="Century Gothic"/>
          <w:sz w:val="24"/>
          <w:szCs w:val="24"/>
        </w:rPr>
        <w:t xml:space="preserve"> </w:t>
      </w:r>
    </w:p>
    <w:p w:rsidR="00500430" w:rsidRDefault="00500430" w:rsidP="00B2407D">
      <w:pPr>
        <w:pStyle w:val="BodyText"/>
        <w:spacing w:after="0" w:line="360" w:lineRule="auto"/>
        <w:rPr>
          <w:rFonts w:ascii="Century Gothic" w:hAnsi="Century Gothic"/>
          <w:sz w:val="24"/>
          <w:szCs w:val="24"/>
        </w:rPr>
      </w:pPr>
    </w:p>
    <w:p w:rsidR="00281157" w:rsidRDefault="005C06BF" w:rsidP="00B2407D">
      <w:pPr>
        <w:pStyle w:val="BodyText"/>
        <w:spacing w:after="0" w:line="360" w:lineRule="auto"/>
        <w:rPr>
          <w:rFonts w:ascii="Century Gothic" w:hAnsi="Century Gothic"/>
          <w:sz w:val="24"/>
          <w:szCs w:val="24"/>
        </w:rPr>
      </w:pPr>
      <w:r>
        <w:rPr>
          <w:rFonts w:ascii="Century Gothic" w:eastAsia="Arial" w:hAnsi="Century Gothic" w:cs="Times New Roman"/>
          <w:sz w:val="24"/>
          <w:szCs w:val="24"/>
        </w:rPr>
        <w:t>The Law Centre obtained this funding to try and set up a strategic challenge to the grant of limited leave to remain as the norm. The funding was awarded</w:t>
      </w:r>
      <w:r w:rsidRPr="00471D13">
        <w:rPr>
          <w:rFonts w:ascii="Century Gothic" w:eastAsia="Arial" w:hAnsi="Century Gothic" w:cs="Times New Roman"/>
          <w:sz w:val="24"/>
          <w:szCs w:val="24"/>
        </w:rPr>
        <w:t xml:space="preserve"> for the pre-litigation research, </w:t>
      </w:r>
      <w:r w:rsidR="003E0930">
        <w:rPr>
          <w:rFonts w:ascii="Century Gothic" w:eastAsia="Arial" w:hAnsi="Century Gothic" w:cs="Times New Roman"/>
          <w:sz w:val="24"/>
          <w:szCs w:val="24"/>
        </w:rPr>
        <w:t xml:space="preserve">and </w:t>
      </w:r>
      <w:r w:rsidRPr="00471D13">
        <w:rPr>
          <w:rFonts w:ascii="Century Gothic" w:eastAsia="Arial" w:hAnsi="Century Gothic" w:cs="Times New Roman"/>
          <w:sz w:val="24"/>
          <w:szCs w:val="24"/>
        </w:rPr>
        <w:t>development of evidence and legal argument</w:t>
      </w:r>
      <w:r>
        <w:rPr>
          <w:rFonts w:ascii="Century Gothic" w:hAnsi="Century Gothic"/>
          <w:sz w:val="24"/>
          <w:szCs w:val="24"/>
        </w:rPr>
        <w:t xml:space="preserve">. </w:t>
      </w:r>
      <w:r w:rsidR="00281157">
        <w:rPr>
          <w:rFonts w:ascii="Century Gothic" w:hAnsi="Century Gothic"/>
          <w:sz w:val="24"/>
          <w:szCs w:val="24"/>
        </w:rPr>
        <w:t xml:space="preserve">The intention </w:t>
      </w:r>
      <w:r w:rsidR="002C4E9E">
        <w:rPr>
          <w:rFonts w:ascii="Century Gothic" w:hAnsi="Century Gothic"/>
          <w:sz w:val="24"/>
          <w:szCs w:val="24"/>
        </w:rPr>
        <w:t xml:space="preserve">of the research </w:t>
      </w:r>
      <w:r w:rsidR="00281157">
        <w:rPr>
          <w:rFonts w:ascii="Century Gothic" w:hAnsi="Century Gothic"/>
          <w:sz w:val="24"/>
          <w:szCs w:val="24"/>
        </w:rPr>
        <w:t>was to record th</w:t>
      </w:r>
      <w:r w:rsidR="003E0930">
        <w:rPr>
          <w:rFonts w:ascii="Century Gothic" w:hAnsi="Century Gothic"/>
          <w:sz w:val="24"/>
          <w:szCs w:val="24"/>
        </w:rPr>
        <w:t>e</w:t>
      </w:r>
      <w:r w:rsidR="00281157">
        <w:rPr>
          <w:rFonts w:ascii="Century Gothic" w:hAnsi="Century Gothic"/>
          <w:sz w:val="24"/>
          <w:szCs w:val="24"/>
        </w:rPr>
        <w:t xml:space="preserve"> information</w:t>
      </w:r>
      <w:r w:rsidR="003E0930">
        <w:rPr>
          <w:rFonts w:ascii="Century Gothic" w:hAnsi="Century Gothic"/>
          <w:sz w:val="24"/>
          <w:szCs w:val="24"/>
        </w:rPr>
        <w:t xml:space="preserve"> about as many cases as possible</w:t>
      </w:r>
      <w:r>
        <w:rPr>
          <w:rFonts w:ascii="Century Gothic" w:hAnsi="Century Gothic"/>
          <w:sz w:val="24"/>
          <w:szCs w:val="24"/>
        </w:rPr>
        <w:t xml:space="preserve">. We </w:t>
      </w:r>
      <w:r w:rsidR="008C69D5">
        <w:rPr>
          <w:rFonts w:ascii="Century Gothic" w:hAnsi="Century Gothic"/>
          <w:sz w:val="24"/>
          <w:szCs w:val="24"/>
        </w:rPr>
        <w:t xml:space="preserve">have instructed </w:t>
      </w:r>
      <w:r w:rsidR="00281157">
        <w:rPr>
          <w:rFonts w:ascii="Century Gothic" w:hAnsi="Century Gothic"/>
          <w:sz w:val="24"/>
          <w:szCs w:val="24"/>
        </w:rPr>
        <w:t>counsel</w:t>
      </w:r>
      <w:r w:rsidR="008C69D5">
        <w:rPr>
          <w:rFonts w:ascii="Century Gothic" w:hAnsi="Century Gothic"/>
          <w:sz w:val="24"/>
          <w:szCs w:val="24"/>
        </w:rPr>
        <w:t xml:space="preserve"> to provide an </w:t>
      </w:r>
      <w:r w:rsidR="00281157">
        <w:rPr>
          <w:rFonts w:ascii="Century Gothic" w:hAnsi="Century Gothic"/>
          <w:sz w:val="24"/>
          <w:szCs w:val="24"/>
        </w:rPr>
        <w:t xml:space="preserve">advice </w:t>
      </w:r>
      <w:r>
        <w:rPr>
          <w:rFonts w:ascii="Century Gothic" w:hAnsi="Century Gothic"/>
          <w:sz w:val="24"/>
          <w:szCs w:val="24"/>
        </w:rPr>
        <w:t>following which we shall</w:t>
      </w:r>
      <w:r w:rsidR="00281157">
        <w:rPr>
          <w:rFonts w:ascii="Century Gothic" w:hAnsi="Century Gothic"/>
          <w:sz w:val="24"/>
          <w:szCs w:val="24"/>
        </w:rPr>
        <w:t xml:space="preserve"> prepare a</w:t>
      </w:r>
      <w:r w:rsidR="000032E5">
        <w:rPr>
          <w:rFonts w:ascii="Century Gothic" w:hAnsi="Century Gothic"/>
          <w:sz w:val="24"/>
          <w:szCs w:val="24"/>
        </w:rPr>
        <w:t xml:space="preserve">n application for ILR from the outset, with a view to </w:t>
      </w:r>
      <w:r w:rsidR="00281157">
        <w:rPr>
          <w:rFonts w:ascii="Century Gothic" w:hAnsi="Century Gothic"/>
          <w:sz w:val="24"/>
          <w:szCs w:val="24"/>
        </w:rPr>
        <w:t>challeng</w:t>
      </w:r>
      <w:r w:rsidR="000032E5">
        <w:rPr>
          <w:rFonts w:ascii="Century Gothic" w:hAnsi="Century Gothic"/>
          <w:sz w:val="24"/>
          <w:szCs w:val="24"/>
        </w:rPr>
        <w:t>ing</w:t>
      </w:r>
      <w:r w:rsidR="00281157">
        <w:rPr>
          <w:rFonts w:ascii="Century Gothic" w:hAnsi="Century Gothic"/>
          <w:sz w:val="24"/>
          <w:szCs w:val="24"/>
        </w:rPr>
        <w:t xml:space="preserve"> </w:t>
      </w:r>
      <w:r>
        <w:rPr>
          <w:rFonts w:ascii="Century Gothic" w:hAnsi="Century Gothic"/>
          <w:sz w:val="24"/>
          <w:szCs w:val="24"/>
        </w:rPr>
        <w:t xml:space="preserve">the </w:t>
      </w:r>
      <w:r w:rsidR="00281157">
        <w:rPr>
          <w:rFonts w:ascii="Century Gothic" w:hAnsi="Century Gothic"/>
          <w:sz w:val="24"/>
          <w:szCs w:val="24"/>
        </w:rPr>
        <w:t>Home Office on the length of leave granted</w:t>
      </w:r>
      <w:r w:rsidR="008C69D5">
        <w:rPr>
          <w:rFonts w:ascii="Century Gothic" w:hAnsi="Century Gothic"/>
          <w:sz w:val="24"/>
          <w:szCs w:val="24"/>
        </w:rPr>
        <w:t>. T</w:t>
      </w:r>
      <w:r>
        <w:rPr>
          <w:rFonts w:ascii="Century Gothic" w:hAnsi="Century Gothic"/>
          <w:sz w:val="24"/>
          <w:szCs w:val="24"/>
        </w:rPr>
        <w:t xml:space="preserve">he </w:t>
      </w:r>
      <w:r w:rsidR="00281157">
        <w:rPr>
          <w:rFonts w:ascii="Century Gothic" w:hAnsi="Century Gothic"/>
          <w:sz w:val="24"/>
          <w:szCs w:val="24"/>
        </w:rPr>
        <w:t xml:space="preserve">case studies </w:t>
      </w:r>
      <w:r>
        <w:rPr>
          <w:rFonts w:ascii="Century Gothic" w:hAnsi="Century Gothic"/>
          <w:sz w:val="24"/>
          <w:szCs w:val="24"/>
        </w:rPr>
        <w:t xml:space="preserve">will also </w:t>
      </w:r>
      <w:r w:rsidR="00281157">
        <w:rPr>
          <w:rFonts w:ascii="Century Gothic" w:hAnsi="Century Gothic"/>
          <w:sz w:val="24"/>
          <w:szCs w:val="24"/>
        </w:rPr>
        <w:t>form</w:t>
      </w:r>
      <w:r>
        <w:rPr>
          <w:rFonts w:ascii="Century Gothic" w:hAnsi="Century Gothic"/>
          <w:sz w:val="24"/>
          <w:szCs w:val="24"/>
        </w:rPr>
        <w:t xml:space="preserve"> </w:t>
      </w:r>
      <w:r w:rsidR="00281157">
        <w:rPr>
          <w:rFonts w:ascii="Century Gothic" w:hAnsi="Century Gothic"/>
          <w:sz w:val="24"/>
          <w:szCs w:val="24"/>
        </w:rPr>
        <w:t xml:space="preserve">the basis of a witness statement in any challenge in due course. </w:t>
      </w:r>
      <w:r>
        <w:rPr>
          <w:rFonts w:ascii="Century Gothic" w:hAnsi="Century Gothic"/>
          <w:sz w:val="24"/>
          <w:szCs w:val="24"/>
        </w:rPr>
        <w:t>At the end of the case a note w</w:t>
      </w:r>
      <w:r w:rsidR="003E0930">
        <w:rPr>
          <w:rFonts w:ascii="Century Gothic" w:hAnsi="Century Gothic"/>
          <w:sz w:val="24"/>
          <w:szCs w:val="24"/>
        </w:rPr>
        <w:t>ith</w:t>
      </w:r>
      <w:r>
        <w:rPr>
          <w:rFonts w:ascii="Century Gothic" w:hAnsi="Century Gothic"/>
          <w:sz w:val="24"/>
          <w:szCs w:val="24"/>
        </w:rPr>
        <w:t xml:space="preserve"> information about arguments made</w:t>
      </w:r>
      <w:r w:rsidR="003E0930">
        <w:rPr>
          <w:rFonts w:ascii="Century Gothic" w:hAnsi="Century Gothic"/>
          <w:sz w:val="24"/>
          <w:szCs w:val="24"/>
        </w:rPr>
        <w:t xml:space="preserve"> will also be disseminated</w:t>
      </w:r>
      <w:r>
        <w:rPr>
          <w:rFonts w:ascii="Century Gothic" w:hAnsi="Century Gothic"/>
          <w:sz w:val="24"/>
          <w:szCs w:val="24"/>
        </w:rPr>
        <w:t>.</w:t>
      </w:r>
      <w:r w:rsidRPr="005C06BF">
        <w:rPr>
          <w:rFonts w:ascii="Century Gothic" w:hAnsi="Century Gothic"/>
          <w:sz w:val="24"/>
          <w:szCs w:val="24"/>
        </w:rPr>
        <w:t xml:space="preserve"> </w:t>
      </w:r>
    </w:p>
    <w:p w:rsidR="00281157" w:rsidRDefault="00281157" w:rsidP="00B2407D">
      <w:pPr>
        <w:pStyle w:val="BodyText"/>
        <w:spacing w:after="0" w:line="360" w:lineRule="auto"/>
        <w:rPr>
          <w:rFonts w:ascii="Century Gothic" w:hAnsi="Century Gothic"/>
          <w:sz w:val="24"/>
          <w:szCs w:val="24"/>
        </w:rPr>
      </w:pPr>
    </w:p>
    <w:p w:rsidR="005D373A" w:rsidRPr="005B7F0F" w:rsidRDefault="008B511B" w:rsidP="00181F0E">
      <w:pPr>
        <w:pStyle w:val="BodyText"/>
        <w:numPr>
          <w:ilvl w:val="0"/>
          <w:numId w:val="37"/>
        </w:numPr>
        <w:spacing w:after="0" w:line="360" w:lineRule="auto"/>
        <w:ind w:left="567" w:hanging="567"/>
        <w:rPr>
          <w:rFonts w:ascii="Century Gothic" w:hAnsi="Century Gothic"/>
          <w:i/>
          <w:sz w:val="24"/>
          <w:szCs w:val="24"/>
        </w:rPr>
      </w:pPr>
      <w:r>
        <w:rPr>
          <w:rFonts w:ascii="Century Gothic" w:hAnsi="Century Gothic"/>
          <w:i/>
          <w:sz w:val="24"/>
          <w:szCs w:val="24"/>
        </w:rPr>
        <w:t>Legal framework</w:t>
      </w:r>
    </w:p>
    <w:p w:rsidR="005B7F0F" w:rsidRDefault="005B7F0F" w:rsidP="00B2407D">
      <w:pPr>
        <w:pStyle w:val="BodyText"/>
        <w:spacing w:after="0" w:line="360" w:lineRule="auto"/>
        <w:rPr>
          <w:rFonts w:ascii="Century Gothic" w:hAnsi="Century Gothic"/>
          <w:sz w:val="24"/>
          <w:szCs w:val="24"/>
        </w:rPr>
      </w:pPr>
    </w:p>
    <w:p w:rsidR="008B511B" w:rsidRDefault="008B511B" w:rsidP="00B2407D">
      <w:pPr>
        <w:pStyle w:val="BodyText"/>
        <w:spacing w:after="0" w:line="360" w:lineRule="auto"/>
        <w:rPr>
          <w:rFonts w:ascii="Century Gothic" w:hAnsi="Century Gothic"/>
          <w:sz w:val="24"/>
          <w:szCs w:val="24"/>
        </w:rPr>
      </w:pPr>
      <w:r>
        <w:rPr>
          <w:rFonts w:ascii="Century Gothic" w:hAnsi="Century Gothic"/>
          <w:sz w:val="24"/>
          <w:szCs w:val="24"/>
        </w:rPr>
        <w:t xml:space="preserve">Briefly, </w:t>
      </w:r>
      <w:r w:rsidR="00F013FF">
        <w:rPr>
          <w:rFonts w:ascii="Century Gothic" w:hAnsi="Century Gothic"/>
          <w:sz w:val="24"/>
          <w:szCs w:val="24"/>
        </w:rPr>
        <w:t xml:space="preserve">the </w:t>
      </w:r>
      <w:r>
        <w:rPr>
          <w:rFonts w:ascii="Century Gothic" w:hAnsi="Century Gothic"/>
          <w:sz w:val="24"/>
          <w:szCs w:val="24"/>
        </w:rPr>
        <w:t xml:space="preserve">applications </w:t>
      </w:r>
      <w:r w:rsidR="00F013FF">
        <w:rPr>
          <w:rFonts w:ascii="Century Gothic" w:hAnsi="Century Gothic"/>
          <w:sz w:val="24"/>
          <w:szCs w:val="24"/>
        </w:rPr>
        <w:t>considered were</w:t>
      </w:r>
      <w:r>
        <w:rPr>
          <w:rFonts w:ascii="Century Gothic" w:hAnsi="Century Gothic"/>
          <w:sz w:val="24"/>
          <w:szCs w:val="24"/>
        </w:rPr>
        <w:t xml:space="preserve"> </w:t>
      </w:r>
      <w:r w:rsidR="008E2953">
        <w:rPr>
          <w:rFonts w:ascii="Century Gothic" w:hAnsi="Century Gothic"/>
          <w:sz w:val="24"/>
          <w:szCs w:val="24"/>
        </w:rPr>
        <w:t xml:space="preserve">those made </w:t>
      </w:r>
      <w:r w:rsidR="00F013FF">
        <w:rPr>
          <w:rFonts w:ascii="Century Gothic" w:hAnsi="Century Gothic"/>
          <w:sz w:val="24"/>
          <w:szCs w:val="24"/>
        </w:rPr>
        <w:t xml:space="preserve">for </w:t>
      </w:r>
      <w:r w:rsidR="008E2953">
        <w:rPr>
          <w:rFonts w:ascii="Century Gothic" w:hAnsi="Century Gothic"/>
          <w:sz w:val="24"/>
          <w:szCs w:val="24"/>
        </w:rPr>
        <w:t xml:space="preserve">either </w:t>
      </w:r>
      <w:r w:rsidR="00F013FF">
        <w:rPr>
          <w:rFonts w:ascii="Century Gothic" w:hAnsi="Century Gothic"/>
          <w:sz w:val="24"/>
          <w:szCs w:val="24"/>
        </w:rPr>
        <w:t>a derivative residence card</w:t>
      </w:r>
      <w:r w:rsidR="005C06BF">
        <w:rPr>
          <w:rFonts w:ascii="Century Gothic" w:hAnsi="Century Gothic"/>
          <w:sz w:val="24"/>
          <w:szCs w:val="24"/>
        </w:rPr>
        <w:t>,</w:t>
      </w:r>
      <w:r w:rsidR="00F013FF">
        <w:rPr>
          <w:rFonts w:ascii="Century Gothic" w:hAnsi="Century Gothic"/>
          <w:sz w:val="24"/>
          <w:szCs w:val="24"/>
        </w:rPr>
        <w:t xml:space="preserve"> or under</w:t>
      </w:r>
      <w:r>
        <w:rPr>
          <w:rFonts w:ascii="Century Gothic" w:hAnsi="Century Gothic"/>
          <w:sz w:val="24"/>
          <w:szCs w:val="24"/>
        </w:rPr>
        <w:t xml:space="preserve"> the immigration rules</w:t>
      </w:r>
      <w:r w:rsidR="008E2953">
        <w:rPr>
          <w:rFonts w:ascii="Century Gothic" w:hAnsi="Century Gothic"/>
          <w:sz w:val="24"/>
          <w:szCs w:val="24"/>
        </w:rPr>
        <w:t xml:space="preserve"> on family and/or private life</w:t>
      </w:r>
      <w:r>
        <w:rPr>
          <w:rFonts w:ascii="Century Gothic" w:hAnsi="Century Gothic"/>
          <w:sz w:val="24"/>
          <w:szCs w:val="24"/>
        </w:rPr>
        <w:t>.</w:t>
      </w:r>
    </w:p>
    <w:p w:rsidR="008B511B" w:rsidRDefault="008B511B" w:rsidP="00B2407D">
      <w:pPr>
        <w:pStyle w:val="BodyText"/>
        <w:spacing w:after="0" w:line="360" w:lineRule="auto"/>
        <w:rPr>
          <w:rFonts w:ascii="Century Gothic" w:hAnsi="Century Gothic"/>
          <w:sz w:val="24"/>
          <w:szCs w:val="24"/>
        </w:rPr>
      </w:pPr>
    </w:p>
    <w:p w:rsidR="00B03452" w:rsidRDefault="00BF1CD4" w:rsidP="00B2407D">
      <w:pPr>
        <w:pStyle w:val="BodyText"/>
        <w:spacing w:after="0" w:line="360" w:lineRule="auto"/>
        <w:rPr>
          <w:rFonts w:ascii="Century Gothic" w:hAnsi="Century Gothic"/>
          <w:sz w:val="24"/>
          <w:szCs w:val="24"/>
        </w:rPr>
      </w:pPr>
      <w:r>
        <w:rPr>
          <w:rFonts w:ascii="Century Gothic" w:hAnsi="Century Gothic"/>
          <w:sz w:val="24"/>
          <w:szCs w:val="24"/>
        </w:rPr>
        <w:t>Derivative rights of residence</w:t>
      </w:r>
    </w:p>
    <w:p w:rsidR="00BF1CD4" w:rsidRDefault="00BF1CD4" w:rsidP="00B2407D">
      <w:pPr>
        <w:pStyle w:val="BodyText"/>
        <w:spacing w:after="0" w:line="360" w:lineRule="auto"/>
        <w:rPr>
          <w:rFonts w:ascii="Century Gothic" w:hAnsi="Century Gothic"/>
          <w:sz w:val="24"/>
          <w:szCs w:val="24"/>
        </w:rPr>
      </w:pPr>
    </w:p>
    <w:p w:rsidR="00EA72BA" w:rsidRDefault="00B03452" w:rsidP="00B2407D">
      <w:pPr>
        <w:pStyle w:val="BodyText"/>
        <w:spacing w:after="0" w:line="360" w:lineRule="auto"/>
        <w:rPr>
          <w:rFonts w:ascii="Century Gothic" w:hAnsi="Century Gothic"/>
          <w:sz w:val="24"/>
          <w:szCs w:val="24"/>
        </w:rPr>
      </w:pPr>
      <w:r>
        <w:rPr>
          <w:rFonts w:ascii="Century Gothic" w:hAnsi="Century Gothic"/>
          <w:sz w:val="24"/>
          <w:szCs w:val="24"/>
        </w:rPr>
        <w:t>The 2006 E</w:t>
      </w:r>
      <w:r w:rsidR="00EA72BA">
        <w:rPr>
          <w:rFonts w:ascii="Century Gothic" w:hAnsi="Century Gothic"/>
          <w:sz w:val="24"/>
          <w:szCs w:val="24"/>
        </w:rPr>
        <w:t>E</w:t>
      </w:r>
      <w:r>
        <w:rPr>
          <w:rFonts w:ascii="Century Gothic" w:hAnsi="Century Gothic"/>
          <w:sz w:val="24"/>
          <w:szCs w:val="24"/>
        </w:rPr>
        <w:t>A Regulations</w:t>
      </w:r>
      <w:r w:rsidR="00BF1CD4">
        <w:rPr>
          <w:rFonts w:ascii="Century Gothic" w:hAnsi="Century Gothic"/>
          <w:sz w:val="24"/>
          <w:szCs w:val="24"/>
        </w:rPr>
        <w:t xml:space="preserve"> </w:t>
      </w:r>
      <w:r w:rsidR="00F013FF">
        <w:rPr>
          <w:rFonts w:ascii="Century Gothic" w:hAnsi="Century Gothic"/>
          <w:sz w:val="24"/>
          <w:szCs w:val="24"/>
        </w:rPr>
        <w:t xml:space="preserve">(Regulation 15A) </w:t>
      </w:r>
      <w:r w:rsidR="00BF1CD4">
        <w:rPr>
          <w:rFonts w:ascii="Century Gothic" w:hAnsi="Century Gothic"/>
          <w:sz w:val="24"/>
          <w:szCs w:val="24"/>
        </w:rPr>
        <w:t xml:space="preserve">as amended </w:t>
      </w:r>
      <w:r w:rsidR="00EA72BA">
        <w:rPr>
          <w:rFonts w:ascii="Century Gothic" w:hAnsi="Century Gothic"/>
          <w:sz w:val="24"/>
          <w:szCs w:val="24"/>
        </w:rPr>
        <w:t xml:space="preserve">deal with derivative rights of residence. </w:t>
      </w:r>
      <w:r w:rsidR="00A90A74">
        <w:rPr>
          <w:rFonts w:ascii="Century Gothic" w:hAnsi="Century Gothic"/>
          <w:sz w:val="24"/>
          <w:szCs w:val="24"/>
        </w:rPr>
        <w:t>If an a</w:t>
      </w:r>
      <w:r w:rsidR="00EA72BA">
        <w:rPr>
          <w:rFonts w:ascii="Century Gothic" w:hAnsi="Century Gothic"/>
          <w:sz w:val="24"/>
          <w:szCs w:val="24"/>
        </w:rPr>
        <w:t xml:space="preserve">pplication </w:t>
      </w:r>
      <w:r w:rsidR="008B511B">
        <w:rPr>
          <w:rFonts w:ascii="Century Gothic" w:hAnsi="Century Gothic"/>
          <w:sz w:val="24"/>
          <w:szCs w:val="24"/>
        </w:rPr>
        <w:t xml:space="preserve">under the Regulations </w:t>
      </w:r>
      <w:r w:rsidR="00A90A74">
        <w:rPr>
          <w:rFonts w:ascii="Century Gothic" w:hAnsi="Century Gothic"/>
          <w:sz w:val="24"/>
          <w:szCs w:val="24"/>
        </w:rPr>
        <w:t xml:space="preserve">as </w:t>
      </w:r>
      <w:r w:rsidR="00890CE7">
        <w:rPr>
          <w:rFonts w:ascii="Century Gothic" w:hAnsi="Century Gothic"/>
          <w:sz w:val="24"/>
          <w:szCs w:val="24"/>
        </w:rPr>
        <w:t xml:space="preserve">a </w:t>
      </w:r>
      <w:r w:rsidR="00A90A74">
        <w:rPr>
          <w:rFonts w:ascii="Century Gothic" w:hAnsi="Century Gothic"/>
          <w:sz w:val="24"/>
          <w:szCs w:val="24"/>
        </w:rPr>
        <w:t xml:space="preserve">primary </w:t>
      </w:r>
      <w:proofErr w:type="spellStart"/>
      <w:r w:rsidR="00A67F62">
        <w:rPr>
          <w:rFonts w:ascii="Century Gothic" w:hAnsi="Century Gothic"/>
          <w:sz w:val="24"/>
          <w:szCs w:val="24"/>
        </w:rPr>
        <w:t>carer</w:t>
      </w:r>
      <w:proofErr w:type="spellEnd"/>
      <w:r w:rsidR="00A67F62">
        <w:rPr>
          <w:rFonts w:ascii="Century Gothic" w:hAnsi="Century Gothic"/>
          <w:sz w:val="24"/>
          <w:szCs w:val="24"/>
        </w:rPr>
        <w:t xml:space="preserve"> is successful, a derivative residence card is issued for </w:t>
      </w:r>
      <w:r w:rsidR="00A67F62">
        <w:rPr>
          <w:rFonts w:ascii="Century Gothic" w:hAnsi="Century Gothic"/>
          <w:sz w:val="24"/>
          <w:szCs w:val="24"/>
        </w:rPr>
        <w:lastRenderedPageBreak/>
        <w:t>five years with the possibility of renewal</w:t>
      </w:r>
      <w:r w:rsidR="00913DB4">
        <w:rPr>
          <w:rFonts w:ascii="Century Gothic" w:hAnsi="Century Gothic"/>
          <w:sz w:val="24"/>
          <w:szCs w:val="24"/>
        </w:rPr>
        <w:t xml:space="preserve"> if the British citizen child/EEA national child remains in the UK and</w:t>
      </w:r>
      <w:r w:rsidR="0032040A">
        <w:rPr>
          <w:rFonts w:ascii="Century Gothic" w:hAnsi="Century Gothic"/>
          <w:sz w:val="24"/>
          <w:szCs w:val="24"/>
        </w:rPr>
        <w:t>/or in education.</w:t>
      </w:r>
      <w:r w:rsidR="00EA72BA" w:rsidRPr="00EA72BA">
        <w:rPr>
          <w:rFonts w:ascii="Century Gothic" w:hAnsi="Century Gothic"/>
          <w:sz w:val="24"/>
          <w:szCs w:val="24"/>
        </w:rPr>
        <w:t xml:space="preserve"> </w:t>
      </w:r>
    </w:p>
    <w:p w:rsidR="00CF5263" w:rsidRDefault="00CF5263" w:rsidP="00B2407D">
      <w:pPr>
        <w:pStyle w:val="BodyText"/>
        <w:spacing w:after="0" w:line="360" w:lineRule="auto"/>
        <w:rPr>
          <w:rFonts w:ascii="Century Gothic" w:hAnsi="Century Gothic"/>
          <w:sz w:val="24"/>
          <w:szCs w:val="24"/>
        </w:rPr>
      </w:pPr>
    </w:p>
    <w:p w:rsidR="00EA72BA" w:rsidRDefault="00EA72BA" w:rsidP="00B2407D">
      <w:pPr>
        <w:pStyle w:val="BodyText"/>
        <w:spacing w:after="0" w:line="360" w:lineRule="auto"/>
        <w:rPr>
          <w:rFonts w:ascii="Century Gothic" w:hAnsi="Century Gothic"/>
          <w:sz w:val="24"/>
          <w:szCs w:val="24"/>
        </w:rPr>
      </w:pPr>
      <w:r>
        <w:rPr>
          <w:rFonts w:ascii="Century Gothic" w:hAnsi="Century Gothic"/>
          <w:sz w:val="24"/>
          <w:szCs w:val="24"/>
        </w:rPr>
        <w:t xml:space="preserve">Since 8 November 2012, as a result of changes in regulations governing access to housing and means tested benefits, those with a derivative right of residence can no longer qualify for benefits.  </w:t>
      </w:r>
    </w:p>
    <w:p w:rsidR="00F013FF" w:rsidRDefault="00F013FF" w:rsidP="00B2407D">
      <w:pPr>
        <w:pStyle w:val="BodyText"/>
        <w:spacing w:after="0" w:line="360" w:lineRule="auto"/>
        <w:rPr>
          <w:rFonts w:ascii="Century Gothic" w:hAnsi="Century Gothic"/>
          <w:sz w:val="24"/>
          <w:szCs w:val="24"/>
        </w:rPr>
      </w:pPr>
    </w:p>
    <w:p w:rsidR="00CF5263" w:rsidRPr="00F013FF" w:rsidRDefault="00F013FF" w:rsidP="00CF5263">
      <w:pPr>
        <w:pStyle w:val="BodyText"/>
        <w:spacing w:after="0" w:line="360" w:lineRule="auto"/>
        <w:rPr>
          <w:rFonts w:ascii="Century Gothic" w:hAnsi="Century Gothic"/>
          <w:b/>
          <w:sz w:val="24"/>
          <w:szCs w:val="24"/>
        </w:rPr>
      </w:pPr>
      <w:r>
        <w:rPr>
          <w:rFonts w:ascii="Century Gothic" w:hAnsi="Century Gothic"/>
          <w:sz w:val="24"/>
          <w:szCs w:val="24"/>
        </w:rPr>
        <w:t xml:space="preserve">The Court of Appeal in </w:t>
      </w:r>
      <w:hyperlink r:id="rId9" w:tgtFrame="_blank" w:history="1">
        <w:r w:rsidR="008B511B" w:rsidRPr="00890CE7">
          <w:rPr>
            <w:rStyle w:val="apple-converted-space"/>
            <w:rFonts w:ascii="Century Gothic" w:hAnsi="Century Gothic" w:cs="Arial"/>
            <w:b/>
            <w:i/>
            <w:iCs/>
            <w:sz w:val="24"/>
            <w:szCs w:val="24"/>
            <w:bdr w:val="none" w:sz="0" w:space="0" w:color="auto" w:frame="1"/>
            <w:shd w:val="clear" w:color="auto" w:fill="FFFFFF"/>
          </w:rPr>
          <w:t> </w:t>
        </w:r>
        <w:proofErr w:type="spellStart"/>
        <w:r w:rsidR="008B511B" w:rsidRPr="00890CE7">
          <w:rPr>
            <w:rStyle w:val="Emphasis"/>
            <w:rFonts w:ascii="Century Gothic" w:hAnsi="Century Gothic" w:cs="Arial"/>
            <w:b w:val="0"/>
            <w:i/>
            <w:sz w:val="24"/>
            <w:szCs w:val="24"/>
            <w:bdr w:val="none" w:sz="0" w:space="0" w:color="auto" w:frame="1"/>
            <w:shd w:val="clear" w:color="auto" w:fill="FFFFFF"/>
          </w:rPr>
          <w:t>Sanneh</w:t>
        </w:r>
        <w:proofErr w:type="spellEnd"/>
        <w:r w:rsidR="008B511B" w:rsidRPr="00890CE7">
          <w:rPr>
            <w:rStyle w:val="Emphasis"/>
            <w:rFonts w:ascii="Century Gothic" w:hAnsi="Century Gothic" w:cs="Arial"/>
            <w:b w:val="0"/>
            <w:i/>
            <w:sz w:val="24"/>
            <w:szCs w:val="24"/>
            <w:bdr w:val="none" w:sz="0" w:space="0" w:color="auto" w:frame="1"/>
            <w:shd w:val="clear" w:color="auto" w:fill="FFFFFF"/>
          </w:rPr>
          <w:t xml:space="preserve"> &amp; Ors v Secretary of State for Work and Pensions and Others</w:t>
        </w:r>
        <w:r w:rsidR="008B511B" w:rsidRPr="00890CE7">
          <w:rPr>
            <w:rStyle w:val="apple-converted-space"/>
            <w:rFonts w:ascii="Century Gothic" w:hAnsi="Century Gothic" w:cs="Arial"/>
            <w:i/>
            <w:sz w:val="24"/>
            <w:szCs w:val="24"/>
            <w:bdr w:val="none" w:sz="0" w:space="0" w:color="auto" w:frame="1"/>
            <w:shd w:val="clear" w:color="auto" w:fill="FFFFFF"/>
          </w:rPr>
          <w:t> </w:t>
        </w:r>
        <w:r w:rsidR="008B511B" w:rsidRPr="00890CE7">
          <w:rPr>
            <w:rStyle w:val="Hyperlink"/>
            <w:rFonts w:ascii="Century Gothic" w:hAnsi="Century Gothic" w:cs="Arial"/>
            <w:i/>
            <w:color w:val="auto"/>
            <w:sz w:val="24"/>
            <w:szCs w:val="24"/>
            <w:u w:val="none"/>
            <w:bdr w:val="none" w:sz="0" w:space="0" w:color="auto" w:frame="1"/>
            <w:shd w:val="clear" w:color="auto" w:fill="FFFFFF"/>
          </w:rPr>
          <w:t xml:space="preserve">[2015] EWCA </w:t>
        </w:r>
        <w:proofErr w:type="spellStart"/>
        <w:r w:rsidR="008B511B" w:rsidRPr="00890CE7">
          <w:rPr>
            <w:rStyle w:val="Hyperlink"/>
            <w:rFonts w:ascii="Century Gothic" w:hAnsi="Century Gothic" w:cs="Arial"/>
            <w:i/>
            <w:color w:val="auto"/>
            <w:sz w:val="24"/>
            <w:szCs w:val="24"/>
            <w:u w:val="none"/>
            <w:bdr w:val="none" w:sz="0" w:space="0" w:color="auto" w:frame="1"/>
            <w:shd w:val="clear" w:color="auto" w:fill="FFFFFF"/>
          </w:rPr>
          <w:t>Civ</w:t>
        </w:r>
        <w:proofErr w:type="spellEnd"/>
        <w:r w:rsidR="008B511B" w:rsidRPr="00890CE7">
          <w:rPr>
            <w:rStyle w:val="Hyperlink"/>
            <w:rFonts w:ascii="Century Gothic" w:hAnsi="Century Gothic" w:cs="Arial"/>
            <w:i/>
            <w:color w:val="auto"/>
            <w:sz w:val="24"/>
            <w:szCs w:val="24"/>
            <w:u w:val="none"/>
            <w:bdr w:val="none" w:sz="0" w:space="0" w:color="auto" w:frame="1"/>
            <w:shd w:val="clear" w:color="auto" w:fill="FFFFFF"/>
          </w:rPr>
          <w:t xml:space="preserve"> 49</w:t>
        </w:r>
      </w:hyperlink>
      <w:r w:rsidRPr="00890CE7">
        <w:rPr>
          <w:rFonts w:ascii="Century Gothic" w:hAnsi="Century Gothic"/>
          <w:b/>
          <w:i/>
          <w:sz w:val="24"/>
          <w:szCs w:val="24"/>
        </w:rPr>
        <w:t xml:space="preserve"> </w:t>
      </w:r>
      <w:r w:rsidR="008D025B">
        <w:rPr>
          <w:rFonts w:ascii="Century Gothic" w:hAnsi="Century Gothic"/>
          <w:sz w:val="24"/>
          <w:szCs w:val="24"/>
        </w:rPr>
        <w:t>ruled</w:t>
      </w:r>
      <w:r w:rsidR="00CF5263">
        <w:rPr>
          <w:rFonts w:ascii="Century Gothic" w:hAnsi="Century Gothic"/>
          <w:sz w:val="24"/>
          <w:szCs w:val="24"/>
        </w:rPr>
        <w:t xml:space="preserve"> that the right to reside arises as soon as the requirements are met (i.e., </w:t>
      </w:r>
      <w:r w:rsidR="00D96D4F">
        <w:rPr>
          <w:rFonts w:ascii="Century Gothic" w:hAnsi="Century Gothic"/>
          <w:sz w:val="24"/>
          <w:szCs w:val="24"/>
        </w:rPr>
        <w:t xml:space="preserve">as soon as </w:t>
      </w:r>
      <w:r w:rsidR="00CF5263">
        <w:rPr>
          <w:rFonts w:ascii="Century Gothic" w:hAnsi="Century Gothic"/>
          <w:sz w:val="24"/>
          <w:szCs w:val="24"/>
        </w:rPr>
        <w:t>the parent becomes the primary carer)</w:t>
      </w:r>
      <w:r w:rsidR="00D96D4F">
        <w:rPr>
          <w:rFonts w:ascii="Century Gothic" w:hAnsi="Century Gothic"/>
          <w:sz w:val="24"/>
          <w:szCs w:val="24"/>
        </w:rPr>
        <w:t>. However in terms of support</w:t>
      </w:r>
      <w:r w:rsidR="00890CE7">
        <w:rPr>
          <w:rFonts w:ascii="Century Gothic" w:hAnsi="Century Gothic"/>
          <w:sz w:val="24"/>
          <w:szCs w:val="24"/>
        </w:rPr>
        <w:t>,</w:t>
      </w:r>
      <w:r w:rsidR="00D96D4F">
        <w:rPr>
          <w:rFonts w:ascii="Century Gothic" w:hAnsi="Century Gothic"/>
          <w:sz w:val="24"/>
          <w:szCs w:val="24"/>
        </w:rPr>
        <w:t xml:space="preserve"> the court concluded </w:t>
      </w:r>
      <w:r w:rsidR="00CF5263">
        <w:rPr>
          <w:rFonts w:ascii="Century Gothic" w:hAnsi="Century Gothic"/>
          <w:sz w:val="24"/>
          <w:szCs w:val="24"/>
        </w:rPr>
        <w:t>that whilst m</w:t>
      </w:r>
      <w:r w:rsidR="00CF5263" w:rsidRPr="00CF5263">
        <w:rPr>
          <w:rFonts w:ascii="Century Gothic" w:hAnsi="Century Gothic" w:cs="Arial"/>
          <w:sz w:val="24"/>
          <w:szCs w:val="24"/>
        </w:rPr>
        <w:t>ember states are under an obligation to pay </w:t>
      </w:r>
      <w:proofErr w:type="spellStart"/>
      <w:r w:rsidR="00CF5263" w:rsidRPr="00CF5263">
        <w:rPr>
          <w:rFonts w:ascii="Century Gothic" w:hAnsi="Century Gothic" w:cs="Arial"/>
          <w:i/>
          <w:iCs/>
          <w:sz w:val="24"/>
          <w:szCs w:val="24"/>
        </w:rPr>
        <w:t>Zambrano</w:t>
      </w:r>
      <w:proofErr w:type="spellEnd"/>
      <w:r w:rsidR="00CF5263" w:rsidRPr="00CF5263">
        <w:rPr>
          <w:rFonts w:ascii="Century Gothic" w:hAnsi="Century Gothic" w:cs="Arial"/>
          <w:sz w:val="24"/>
          <w:szCs w:val="24"/>
        </w:rPr>
        <w:t> carers in need and unable to work an amount that is sufficient to enable them to support themselves and their EU citizen child/children within the EU</w:t>
      </w:r>
      <w:r w:rsidR="008D025B">
        <w:rPr>
          <w:rFonts w:ascii="Century Gothic" w:hAnsi="Century Gothic" w:cs="Arial"/>
          <w:sz w:val="24"/>
          <w:szCs w:val="24"/>
        </w:rPr>
        <w:t xml:space="preserve">, </w:t>
      </w:r>
      <w:r w:rsidR="00CF5263" w:rsidRPr="00CF5263">
        <w:rPr>
          <w:rFonts w:ascii="Century Gothic" w:hAnsi="Century Gothic" w:cs="Arial"/>
          <w:sz w:val="24"/>
          <w:szCs w:val="24"/>
        </w:rPr>
        <w:t>section 17 of the Children Act 1989 fulfils that obligation</w:t>
      </w:r>
      <w:r w:rsidR="00D96D4F">
        <w:rPr>
          <w:rFonts w:ascii="Century Gothic" w:hAnsi="Century Gothic" w:cs="Arial"/>
          <w:sz w:val="24"/>
          <w:szCs w:val="24"/>
        </w:rPr>
        <w:t>,</w:t>
      </w:r>
      <w:r w:rsidR="00CF5263">
        <w:rPr>
          <w:rFonts w:ascii="Century Gothic" w:hAnsi="Century Gothic" w:cs="Arial"/>
          <w:sz w:val="24"/>
          <w:szCs w:val="24"/>
        </w:rPr>
        <w:t xml:space="preserve"> and </w:t>
      </w:r>
      <w:r w:rsidR="00D96D4F">
        <w:rPr>
          <w:rFonts w:ascii="Century Gothic" w:hAnsi="Century Gothic" w:cs="Arial"/>
          <w:sz w:val="24"/>
          <w:szCs w:val="24"/>
        </w:rPr>
        <w:t>such</w:t>
      </w:r>
      <w:r w:rsidR="00CF5263">
        <w:rPr>
          <w:rFonts w:ascii="Century Gothic" w:hAnsi="Century Gothic" w:cs="Arial"/>
          <w:sz w:val="24"/>
          <w:szCs w:val="24"/>
        </w:rPr>
        <w:t xml:space="preserve"> entitlement does not extend to social assistance </w:t>
      </w:r>
      <w:r w:rsidR="00CF5263" w:rsidRPr="00CF5263">
        <w:rPr>
          <w:rFonts w:ascii="Century Gothic" w:eastAsia="Times New Roman" w:hAnsi="Century Gothic" w:cs="Arial"/>
          <w:sz w:val="24"/>
          <w:szCs w:val="24"/>
          <w:lang w:eastAsia="en-GB"/>
        </w:rPr>
        <w:t xml:space="preserve">paid at the same level as that paid to EU citizens lawfully here. </w:t>
      </w:r>
    </w:p>
    <w:p w:rsidR="00EA72BA" w:rsidRDefault="00EA72BA" w:rsidP="00CF5263">
      <w:pPr>
        <w:pStyle w:val="BodyText"/>
        <w:spacing w:after="0" w:line="360" w:lineRule="auto"/>
        <w:rPr>
          <w:rFonts w:ascii="Century Gothic" w:hAnsi="Century Gothic"/>
          <w:sz w:val="24"/>
          <w:szCs w:val="24"/>
        </w:rPr>
      </w:pPr>
    </w:p>
    <w:p w:rsidR="00DE63DC" w:rsidRDefault="00EA72BA" w:rsidP="00B2407D">
      <w:pPr>
        <w:pStyle w:val="BodyText"/>
        <w:spacing w:after="0" w:line="360" w:lineRule="auto"/>
        <w:rPr>
          <w:rFonts w:ascii="Century Gothic" w:hAnsi="Century Gothic"/>
          <w:sz w:val="24"/>
          <w:szCs w:val="24"/>
        </w:rPr>
      </w:pPr>
      <w:r>
        <w:rPr>
          <w:rFonts w:ascii="Century Gothic" w:hAnsi="Century Gothic"/>
          <w:sz w:val="24"/>
          <w:szCs w:val="24"/>
        </w:rPr>
        <w:t xml:space="preserve">Home Office policy </w:t>
      </w:r>
      <w:r w:rsidR="00F013FF">
        <w:rPr>
          <w:rFonts w:ascii="Century Gothic" w:hAnsi="Century Gothic"/>
          <w:sz w:val="24"/>
          <w:szCs w:val="24"/>
        </w:rPr>
        <w:t>is</w:t>
      </w:r>
      <w:r>
        <w:rPr>
          <w:rFonts w:ascii="Century Gothic" w:hAnsi="Century Gothic"/>
          <w:sz w:val="24"/>
          <w:szCs w:val="24"/>
        </w:rPr>
        <w:t xml:space="preserve"> that there is no right to permanent residence for persons claiming to have a derivative right of residence</w:t>
      </w:r>
      <w:r w:rsidR="002871E9">
        <w:rPr>
          <w:rStyle w:val="FootnoteReference"/>
          <w:rFonts w:ascii="Century Gothic" w:hAnsi="Century Gothic"/>
          <w:sz w:val="24"/>
          <w:szCs w:val="24"/>
        </w:rPr>
        <w:footnoteReference w:id="2"/>
      </w:r>
      <w:r>
        <w:rPr>
          <w:rFonts w:ascii="Century Gothic" w:hAnsi="Century Gothic"/>
          <w:sz w:val="24"/>
          <w:szCs w:val="24"/>
        </w:rPr>
        <w:t xml:space="preserve">. </w:t>
      </w:r>
      <w:r w:rsidR="00D96D4F">
        <w:rPr>
          <w:rFonts w:ascii="Century Gothic" w:hAnsi="Century Gothic"/>
          <w:sz w:val="24"/>
          <w:szCs w:val="24"/>
        </w:rPr>
        <w:t xml:space="preserve"> </w:t>
      </w:r>
    </w:p>
    <w:p w:rsidR="00D96D4F" w:rsidRDefault="00D96D4F" w:rsidP="00B2407D">
      <w:pPr>
        <w:pStyle w:val="BodyText"/>
        <w:spacing w:after="0" w:line="360" w:lineRule="auto"/>
        <w:rPr>
          <w:rFonts w:ascii="Century Gothic" w:hAnsi="Century Gothic"/>
          <w:sz w:val="24"/>
          <w:szCs w:val="24"/>
        </w:rPr>
      </w:pPr>
    </w:p>
    <w:p w:rsidR="00DE63DC" w:rsidRDefault="00F013FF" w:rsidP="00D96D4F">
      <w:pPr>
        <w:pStyle w:val="BodyText"/>
        <w:spacing w:after="0" w:line="360" w:lineRule="auto"/>
        <w:rPr>
          <w:rFonts w:ascii="Century Gothic" w:hAnsi="Century Gothic"/>
          <w:sz w:val="24"/>
          <w:szCs w:val="24"/>
        </w:rPr>
      </w:pPr>
      <w:r>
        <w:rPr>
          <w:rFonts w:ascii="Century Gothic" w:hAnsi="Century Gothic"/>
          <w:sz w:val="24"/>
          <w:szCs w:val="24"/>
        </w:rPr>
        <w:t>I</w:t>
      </w:r>
      <w:r w:rsidR="00D9347E">
        <w:rPr>
          <w:rFonts w:ascii="Century Gothic" w:hAnsi="Century Gothic"/>
          <w:sz w:val="24"/>
          <w:szCs w:val="24"/>
        </w:rPr>
        <w:t>t may be possible to argue that</w:t>
      </w:r>
      <w:r w:rsidR="00CF5263">
        <w:rPr>
          <w:rFonts w:ascii="Century Gothic" w:hAnsi="Century Gothic"/>
          <w:sz w:val="24"/>
          <w:szCs w:val="24"/>
        </w:rPr>
        <w:t xml:space="preserve"> a derivative right of residence is lawful residence in the UK for the purposes of the immigration rules on long residence </w:t>
      </w:r>
      <w:r w:rsidR="00D9347E">
        <w:rPr>
          <w:rFonts w:ascii="Century Gothic" w:hAnsi="Century Gothic"/>
          <w:sz w:val="24"/>
          <w:szCs w:val="24"/>
        </w:rPr>
        <w:t>(</w:t>
      </w:r>
      <w:r w:rsidR="00890CE7">
        <w:rPr>
          <w:rFonts w:ascii="Century Gothic" w:hAnsi="Century Gothic"/>
          <w:sz w:val="24"/>
          <w:szCs w:val="24"/>
        </w:rPr>
        <w:t xml:space="preserve">There is a concession in the Immigration Directorate Instructions for applicants residing under the EEA Regulations </w:t>
      </w:r>
      <w:r w:rsidR="00D96D4F">
        <w:rPr>
          <w:rFonts w:ascii="Century Gothic" w:hAnsi="Century Gothic"/>
          <w:sz w:val="24"/>
          <w:szCs w:val="24"/>
        </w:rPr>
        <w:t xml:space="preserve">although </w:t>
      </w:r>
      <w:r w:rsidR="00890CE7">
        <w:rPr>
          <w:rFonts w:ascii="Century Gothic" w:hAnsi="Century Gothic"/>
          <w:sz w:val="24"/>
          <w:szCs w:val="24"/>
        </w:rPr>
        <w:t xml:space="preserve">this is </w:t>
      </w:r>
      <w:r w:rsidR="00D9347E">
        <w:rPr>
          <w:rFonts w:ascii="Century Gothic" w:hAnsi="Century Gothic"/>
          <w:sz w:val="24"/>
          <w:szCs w:val="24"/>
        </w:rPr>
        <w:t>not</w:t>
      </w:r>
      <w:r w:rsidR="00D96D4F">
        <w:rPr>
          <w:rFonts w:ascii="Century Gothic" w:hAnsi="Century Gothic"/>
          <w:sz w:val="24"/>
          <w:szCs w:val="24"/>
        </w:rPr>
        <w:t xml:space="preserve"> </w:t>
      </w:r>
      <w:r w:rsidR="00D9347E">
        <w:rPr>
          <w:rFonts w:ascii="Century Gothic" w:hAnsi="Century Gothic"/>
          <w:sz w:val="24"/>
          <w:szCs w:val="24"/>
        </w:rPr>
        <w:t xml:space="preserve">in </w:t>
      </w:r>
      <w:r w:rsidR="00D96D4F">
        <w:rPr>
          <w:rFonts w:ascii="Century Gothic" w:hAnsi="Century Gothic"/>
          <w:sz w:val="24"/>
          <w:szCs w:val="24"/>
        </w:rPr>
        <w:t xml:space="preserve">the immigration </w:t>
      </w:r>
      <w:r w:rsidR="00D9347E">
        <w:rPr>
          <w:rFonts w:ascii="Century Gothic" w:hAnsi="Century Gothic"/>
          <w:sz w:val="24"/>
          <w:szCs w:val="24"/>
        </w:rPr>
        <w:t>rules</w:t>
      </w:r>
      <w:r w:rsidR="00404C99">
        <w:rPr>
          <w:rFonts w:ascii="Century Gothic" w:hAnsi="Century Gothic"/>
          <w:sz w:val="24"/>
          <w:szCs w:val="24"/>
        </w:rPr>
        <w:t xml:space="preserve">. The concession however does not </w:t>
      </w:r>
      <w:r w:rsidR="005C06BF">
        <w:rPr>
          <w:rFonts w:ascii="Century Gothic" w:hAnsi="Century Gothic"/>
          <w:sz w:val="24"/>
          <w:szCs w:val="24"/>
        </w:rPr>
        <w:t xml:space="preserve">explicitly </w:t>
      </w:r>
      <w:r w:rsidR="00404C99">
        <w:rPr>
          <w:rFonts w:ascii="Century Gothic" w:hAnsi="Century Gothic"/>
          <w:sz w:val="24"/>
          <w:szCs w:val="24"/>
        </w:rPr>
        <w:t xml:space="preserve">deal with those lawfully here </w:t>
      </w:r>
      <w:r w:rsidR="00890CE7">
        <w:rPr>
          <w:rFonts w:ascii="Century Gothic" w:hAnsi="Century Gothic"/>
          <w:sz w:val="24"/>
          <w:szCs w:val="24"/>
        </w:rPr>
        <w:t>on derivative rights grounds.</w:t>
      </w:r>
      <w:r w:rsidR="00D9347E">
        <w:rPr>
          <w:rFonts w:ascii="Century Gothic" w:hAnsi="Century Gothic"/>
          <w:sz w:val="24"/>
          <w:szCs w:val="24"/>
        </w:rPr>
        <w:t>)</w:t>
      </w:r>
      <w:r w:rsidR="00D96D4F">
        <w:rPr>
          <w:rFonts w:ascii="Century Gothic" w:hAnsi="Century Gothic"/>
          <w:sz w:val="24"/>
          <w:szCs w:val="24"/>
        </w:rPr>
        <w:t xml:space="preserve"> The Upper Tribunal in</w:t>
      </w:r>
      <w:r w:rsidR="00D9347E">
        <w:rPr>
          <w:rFonts w:ascii="Century Gothic" w:hAnsi="Century Gothic"/>
          <w:sz w:val="24"/>
          <w:szCs w:val="24"/>
        </w:rPr>
        <w:t xml:space="preserve"> </w:t>
      </w:r>
      <w:r w:rsidR="00D96D4F" w:rsidRPr="00D96D4F">
        <w:rPr>
          <w:rFonts w:ascii="Century Gothic" w:hAnsi="Century Gothic"/>
          <w:i/>
          <w:sz w:val="24"/>
          <w:szCs w:val="24"/>
          <w:u w:val="single"/>
        </w:rPr>
        <w:t>Bee and Another (Permanent/Derived Rights of Residence)</w:t>
      </w:r>
      <w:r w:rsidR="00D96D4F" w:rsidRPr="00D96D4F">
        <w:rPr>
          <w:rFonts w:ascii="Century Gothic" w:hAnsi="Century Gothic"/>
          <w:sz w:val="24"/>
          <w:szCs w:val="24"/>
        </w:rPr>
        <w:t xml:space="preserve"> [2013] UK UT 00083 (IAC)</w:t>
      </w:r>
      <w:r w:rsidR="00D96D4F">
        <w:rPr>
          <w:rFonts w:ascii="Century Gothic" w:hAnsi="Century Gothic"/>
          <w:sz w:val="24"/>
          <w:szCs w:val="24"/>
        </w:rPr>
        <w:t xml:space="preserve"> considered this, noting that there </w:t>
      </w:r>
      <w:r w:rsidR="00D96D4F">
        <w:rPr>
          <w:rFonts w:ascii="Century Gothic" w:hAnsi="Century Gothic"/>
          <w:sz w:val="24"/>
          <w:szCs w:val="24"/>
        </w:rPr>
        <w:lastRenderedPageBreak/>
        <w:t xml:space="preserve">was no human rights application before the UT stating, </w:t>
      </w:r>
      <w:r w:rsidR="003B5DB6" w:rsidRPr="00D96D4F">
        <w:rPr>
          <w:rFonts w:ascii="Century Gothic" w:hAnsi="Century Gothic"/>
          <w:i/>
          <w:sz w:val="24"/>
          <w:szCs w:val="24"/>
        </w:rPr>
        <w:t>If their children are granted permanent residence and still require the presence of their parents to give effect</w:t>
      </w:r>
      <w:r w:rsidR="006A33AB" w:rsidRPr="00D96D4F">
        <w:rPr>
          <w:rFonts w:ascii="Century Gothic" w:hAnsi="Century Gothic"/>
          <w:i/>
          <w:sz w:val="24"/>
          <w:szCs w:val="24"/>
        </w:rPr>
        <w:t xml:space="preserve"> of their rights </w:t>
      </w:r>
      <w:r w:rsidR="005C06BF">
        <w:rPr>
          <w:rFonts w:ascii="Century Gothic" w:hAnsi="Century Gothic"/>
          <w:i/>
          <w:sz w:val="24"/>
          <w:szCs w:val="24"/>
        </w:rPr>
        <w:t>of</w:t>
      </w:r>
      <w:r w:rsidR="006A33AB" w:rsidRPr="00D96D4F">
        <w:rPr>
          <w:rFonts w:ascii="Century Gothic" w:hAnsi="Century Gothic"/>
          <w:i/>
          <w:sz w:val="24"/>
          <w:szCs w:val="24"/>
        </w:rPr>
        <w:t xml:space="preserve"> residence, this might well justify the grant of permanent residence or indefinite leave to remain under national law</w:t>
      </w:r>
      <w:r w:rsidR="006A33AB">
        <w:rPr>
          <w:rFonts w:ascii="Century Gothic" w:hAnsi="Century Gothic"/>
          <w:sz w:val="24"/>
          <w:szCs w:val="24"/>
        </w:rPr>
        <w:t>.</w:t>
      </w:r>
    </w:p>
    <w:p w:rsidR="00B03452" w:rsidRDefault="00B03452" w:rsidP="00B2407D">
      <w:pPr>
        <w:pStyle w:val="BodyText"/>
        <w:spacing w:after="0" w:line="360" w:lineRule="auto"/>
        <w:rPr>
          <w:rFonts w:ascii="Century Gothic" w:hAnsi="Century Gothic"/>
          <w:sz w:val="24"/>
          <w:szCs w:val="24"/>
        </w:rPr>
      </w:pPr>
    </w:p>
    <w:p w:rsidR="00D9347E" w:rsidRDefault="00D9347E" w:rsidP="00B2407D">
      <w:pPr>
        <w:pStyle w:val="BodyText"/>
        <w:spacing w:after="0" w:line="360" w:lineRule="auto"/>
        <w:rPr>
          <w:rFonts w:ascii="Century Gothic" w:hAnsi="Century Gothic"/>
          <w:sz w:val="24"/>
          <w:szCs w:val="24"/>
        </w:rPr>
      </w:pPr>
      <w:r>
        <w:rPr>
          <w:rFonts w:ascii="Century Gothic" w:hAnsi="Century Gothic"/>
          <w:sz w:val="24"/>
          <w:szCs w:val="24"/>
        </w:rPr>
        <w:t>Immigration Rules</w:t>
      </w:r>
    </w:p>
    <w:p w:rsidR="00D9347E" w:rsidRDefault="00D9347E" w:rsidP="00B2407D">
      <w:pPr>
        <w:pStyle w:val="BodyText"/>
        <w:spacing w:after="0" w:line="360" w:lineRule="auto"/>
        <w:rPr>
          <w:rFonts w:ascii="Century Gothic" w:hAnsi="Century Gothic"/>
          <w:sz w:val="24"/>
          <w:szCs w:val="24"/>
        </w:rPr>
      </w:pPr>
    </w:p>
    <w:p w:rsidR="002846C5" w:rsidRDefault="005849DE" w:rsidP="00B2407D">
      <w:pPr>
        <w:pStyle w:val="BodyText"/>
        <w:spacing w:after="0" w:line="360" w:lineRule="auto"/>
        <w:rPr>
          <w:rFonts w:ascii="Century Gothic" w:hAnsi="Century Gothic"/>
          <w:sz w:val="24"/>
          <w:szCs w:val="24"/>
        </w:rPr>
      </w:pPr>
      <w:r>
        <w:rPr>
          <w:rFonts w:ascii="Century Gothic" w:hAnsi="Century Gothic"/>
          <w:sz w:val="24"/>
          <w:szCs w:val="24"/>
        </w:rPr>
        <w:t>The immigration rules provide for an application fo</w:t>
      </w:r>
      <w:r w:rsidR="00F013FF">
        <w:rPr>
          <w:rFonts w:ascii="Century Gothic" w:hAnsi="Century Gothic"/>
          <w:sz w:val="24"/>
          <w:szCs w:val="24"/>
        </w:rPr>
        <w:t>r leave to remain to be made by:</w:t>
      </w:r>
    </w:p>
    <w:p w:rsidR="002846C5" w:rsidRDefault="002846C5" w:rsidP="00891206">
      <w:pPr>
        <w:pStyle w:val="BodyText"/>
        <w:numPr>
          <w:ilvl w:val="0"/>
          <w:numId w:val="38"/>
        </w:numPr>
        <w:spacing w:after="0" w:line="360" w:lineRule="auto"/>
        <w:rPr>
          <w:rFonts w:ascii="Century Gothic" w:hAnsi="Century Gothic"/>
          <w:sz w:val="24"/>
          <w:szCs w:val="24"/>
        </w:rPr>
      </w:pPr>
      <w:r>
        <w:rPr>
          <w:rFonts w:ascii="Century Gothic" w:hAnsi="Century Gothic"/>
          <w:sz w:val="24"/>
          <w:szCs w:val="24"/>
        </w:rPr>
        <w:t xml:space="preserve">A child under 18 who has lived continuously in the UK for at least seven years and can also show that it would not be reasonable to expect her/him to leave the UK, </w:t>
      </w:r>
    </w:p>
    <w:p w:rsidR="002846C5" w:rsidRDefault="00F013FF" w:rsidP="00891206">
      <w:pPr>
        <w:pStyle w:val="BodyText"/>
        <w:numPr>
          <w:ilvl w:val="0"/>
          <w:numId w:val="38"/>
        </w:numPr>
        <w:spacing w:after="0" w:line="360" w:lineRule="auto"/>
        <w:rPr>
          <w:rFonts w:ascii="Century Gothic" w:hAnsi="Century Gothic"/>
          <w:sz w:val="24"/>
          <w:szCs w:val="24"/>
        </w:rPr>
      </w:pPr>
      <w:r>
        <w:rPr>
          <w:rFonts w:ascii="Century Gothic" w:hAnsi="Century Gothic"/>
          <w:sz w:val="24"/>
          <w:szCs w:val="24"/>
        </w:rPr>
        <w:t>A</w:t>
      </w:r>
      <w:r w:rsidR="002846C5">
        <w:rPr>
          <w:rFonts w:ascii="Century Gothic" w:hAnsi="Century Gothic"/>
          <w:sz w:val="24"/>
          <w:szCs w:val="24"/>
        </w:rPr>
        <w:t xml:space="preserve"> person aged 18 or above and under 25, who has spent at least half of her/his life living continuously in the UK,</w:t>
      </w:r>
    </w:p>
    <w:p w:rsidR="00F013FF" w:rsidRPr="00D96D4F" w:rsidRDefault="00D96D4F" w:rsidP="00891206">
      <w:pPr>
        <w:pStyle w:val="BodyText"/>
        <w:numPr>
          <w:ilvl w:val="0"/>
          <w:numId w:val="38"/>
        </w:numPr>
        <w:spacing w:after="0" w:line="360" w:lineRule="auto"/>
        <w:rPr>
          <w:rFonts w:ascii="Century Gothic" w:hAnsi="Century Gothic"/>
          <w:sz w:val="24"/>
          <w:szCs w:val="24"/>
        </w:rPr>
      </w:pPr>
      <w:r>
        <w:rPr>
          <w:rFonts w:ascii="Century Gothic" w:hAnsi="Century Gothic"/>
          <w:sz w:val="24"/>
          <w:szCs w:val="24"/>
        </w:rPr>
        <w:t xml:space="preserve">A person </w:t>
      </w:r>
      <w:r w:rsidR="00F013FF" w:rsidRPr="00D96D4F">
        <w:rPr>
          <w:rFonts w:ascii="Century Gothic" w:hAnsi="Century Gothic"/>
          <w:sz w:val="24"/>
          <w:szCs w:val="24"/>
        </w:rPr>
        <w:t xml:space="preserve">aged 18 or above, </w:t>
      </w:r>
      <w:r>
        <w:rPr>
          <w:rFonts w:ascii="Century Gothic" w:hAnsi="Century Gothic"/>
          <w:sz w:val="24"/>
          <w:szCs w:val="24"/>
        </w:rPr>
        <w:t xml:space="preserve">who </w:t>
      </w:r>
      <w:r w:rsidR="00F013FF" w:rsidRPr="00D96D4F">
        <w:rPr>
          <w:rFonts w:ascii="Century Gothic" w:hAnsi="Century Gothic"/>
          <w:sz w:val="24"/>
          <w:szCs w:val="24"/>
        </w:rPr>
        <w:t>has lived continuously in the UK for less than 20 years but there would be very significant obstacles to the applicant’s integration into the country to which he would have to</w:t>
      </w:r>
      <w:r>
        <w:rPr>
          <w:rFonts w:ascii="Century Gothic" w:hAnsi="Century Gothic"/>
          <w:sz w:val="24"/>
          <w:szCs w:val="24"/>
        </w:rPr>
        <w:t xml:space="preserve"> go if required to leave the UK,</w:t>
      </w:r>
    </w:p>
    <w:p w:rsidR="002846C5" w:rsidRDefault="00F013FF" w:rsidP="00891206">
      <w:pPr>
        <w:pStyle w:val="BodyText"/>
        <w:numPr>
          <w:ilvl w:val="0"/>
          <w:numId w:val="38"/>
        </w:numPr>
        <w:spacing w:after="0" w:line="360" w:lineRule="auto"/>
        <w:rPr>
          <w:rFonts w:ascii="Century Gothic" w:hAnsi="Century Gothic"/>
          <w:sz w:val="24"/>
          <w:szCs w:val="24"/>
        </w:rPr>
      </w:pPr>
      <w:r>
        <w:rPr>
          <w:rFonts w:ascii="Century Gothic" w:hAnsi="Century Gothic"/>
          <w:sz w:val="24"/>
          <w:szCs w:val="24"/>
        </w:rPr>
        <w:t>T</w:t>
      </w:r>
      <w:r w:rsidR="005849DE">
        <w:rPr>
          <w:rFonts w:ascii="Century Gothic" w:hAnsi="Century Gothic"/>
          <w:sz w:val="24"/>
          <w:szCs w:val="24"/>
        </w:rPr>
        <w:t>he parent of</w:t>
      </w:r>
      <w:r w:rsidR="003C6006">
        <w:rPr>
          <w:rFonts w:ascii="Century Gothic" w:hAnsi="Century Gothic"/>
          <w:sz w:val="24"/>
          <w:szCs w:val="24"/>
        </w:rPr>
        <w:t xml:space="preserve"> either a British citizen child</w:t>
      </w:r>
      <w:r w:rsidR="008D6430">
        <w:rPr>
          <w:rFonts w:ascii="Century Gothic" w:hAnsi="Century Gothic"/>
          <w:sz w:val="24"/>
          <w:szCs w:val="24"/>
        </w:rPr>
        <w:t xml:space="preserve">, or a child who has lived in the UK continuously for at least seven years and it would not be reasonable to expect the child to leave the UK.  </w:t>
      </w:r>
    </w:p>
    <w:p w:rsidR="002846C5" w:rsidRDefault="002846C5" w:rsidP="00B2407D">
      <w:pPr>
        <w:pStyle w:val="BodyText"/>
        <w:spacing w:after="0" w:line="360" w:lineRule="auto"/>
        <w:rPr>
          <w:rFonts w:ascii="Century Gothic" w:hAnsi="Century Gothic"/>
          <w:sz w:val="24"/>
          <w:szCs w:val="24"/>
        </w:rPr>
      </w:pPr>
    </w:p>
    <w:p w:rsidR="00891206" w:rsidRDefault="00891206" w:rsidP="00B2407D">
      <w:pPr>
        <w:pStyle w:val="BodyText"/>
        <w:spacing w:after="0" w:line="360" w:lineRule="auto"/>
        <w:rPr>
          <w:rFonts w:ascii="Century Gothic" w:hAnsi="Century Gothic"/>
          <w:sz w:val="24"/>
          <w:szCs w:val="24"/>
        </w:rPr>
      </w:pPr>
      <w:r>
        <w:rPr>
          <w:rFonts w:ascii="Century Gothic" w:hAnsi="Century Gothic"/>
          <w:sz w:val="24"/>
          <w:szCs w:val="24"/>
        </w:rPr>
        <w:t xml:space="preserve">Applications </w:t>
      </w:r>
      <w:r w:rsidR="000032E5">
        <w:rPr>
          <w:rFonts w:ascii="Century Gothic" w:hAnsi="Century Gothic"/>
          <w:sz w:val="24"/>
          <w:szCs w:val="24"/>
        </w:rPr>
        <w:t xml:space="preserve">made </w:t>
      </w:r>
      <w:r>
        <w:rPr>
          <w:rFonts w:ascii="Century Gothic" w:hAnsi="Century Gothic"/>
          <w:sz w:val="24"/>
          <w:szCs w:val="24"/>
        </w:rPr>
        <w:t xml:space="preserve">under the immigration rules on long residence were not </w:t>
      </w:r>
      <w:r w:rsidR="000032E5">
        <w:rPr>
          <w:rFonts w:ascii="Century Gothic" w:hAnsi="Century Gothic"/>
          <w:sz w:val="24"/>
          <w:szCs w:val="24"/>
        </w:rPr>
        <w:t xml:space="preserve">considered </w:t>
      </w:r>
      <w:r w:rsidR="005C06BF">
        <w:rPr>
          <w:rFonts w:ascii="Century Gothic" w:hAnsi="Century Gothic"/>
          <w:sz w:val="24"/>
          <w:szCs w:val="24"/>
        </w:rPr>
        <w:t>in this</w:t>
      </w:r>
      <w:r>
        <w:rPr>
          <w:rFonts w:ascii="Century Gothic" w:hAnsi="Century Gothic"/>
          <w:sz w:val="24"/>
          <w:szCs w:val="24"/>
        </w:rPr>
        <w:t xml:space="preserve"> study.</w:t>
      </w:r>
    </w:p>
    <w:p w:rsidR="008C69D5" w:rsidRDefault="008C69D5" w:rsidP="002846C5">
      <w:pPr>
        <w:pStyle w:val="BodyText"/>
        <w:spacing w:after="0" w:line="360" w:lineRule="auto"/>
        <w:rPr>
          <w:rFonts w:ascii="Century Gothic" w:hAnsi="Century Gothic"/>
          <w:sz w:val="24"/>
          <w:szCs w:val="24"/>
        </w:rPr>
      </w:pPr>
    </w:p>
    <w:p w:rsidR="00C75163" w:rsidRDefault="005937BC" w:rsidP="002846C5">
      <w:pPr>
        <w:pStyle w:val="BodyText"/>
        <w:spacing w:after="0" w:line="360" w:lineRule="auto"/>
        <w:rPr>
          <w:rFonts w:ascii="Century Gothic" w:hAnsi="Century Gothic"/>
          <w:sz w:val="24"/>
          <w:szCs w:val="24"/>
        </w:rPr>
      </w:pPr>
      <w:r>
        <w:rPr>
          <w:rFonts w:ascii="Century Gothic" w:hAnsi="Century Gothic"/>
          <w:sz w:val="24"/>
          <w:szCs w:val="24"/>
        </w:rPr>
        <w:t xml:space="preserve">A successful application will lead to the </w:t>
      </w:r>
      <w:r w:rsidR="00D4608F">
        <w:rPr>
          <w:rFonts w:ascii="Century Gothic" w:hAnsi="Century Gothic"/>
          <w:sz w:val="24"/>
          <w:szCs w:val="24"/>
        </w:rPr>
        <w:t>grant</w:t>
      </w:r>
      <w:r>
        <w:rPr>
          <w:rFonts w:ascii="Century Gothic" w:hAnsi="Century Gothic"/>
          <w:sz w:val="24"/>
          <w:szCs w:val="24"/>
        </w:rPr>
        <w:t xml:space="preserve"> of</w:t>
      </w:r>
      <w:r w:rsidR="00D4608F">
        <w:rPr>
          <w:rFonts w:ascii="Century Gothic" w:hAnsi="Century Gothic"/>
          <w:sz w:val="24"/>
          <w:szCs w:val="24"/>
        </w:rPr>
        <w:t xml:space="preserve"> 30 months leave to remain on a 10 year path to settlement</w:t>
      </w:r>
      <w:r w:rsidR="00891206" w:rsidRPr="00891206">
        <w:rPr>
          <w:rFonts w:ascii="Century Gothic" w:hAnsi="Century Gothic"/>
          <w:sz w:val="24"/>
          <w:szCs w:val="24"/>
        </w:rPr>
        <w:t xml:space="preserve"> </w:t>
      </w:r>
      <w:r w:rsidR="00891206">
        <w:rPr>
          <w:rFonts w:ascii="Century Gothic" w:hAnsi="Century Gothic"/>
          <w:sz w:val="24"/>
          <w:szCs w:val="24"/>
        </w:rPr>
        <w:t xml:space="preserve">and with a no recourse to public funds condition attached, to comply with the </w:t>
      </w:r>
      <w:r w:rsidR="00C75163">
        <w:rPr>
          <w:rFonts w:ascii="Century Gothic" w:hAnsi="Century Gothic"/>
          <w:sz w:val="24"/>
          <w:szCs w:val="24"/>
        </w:rPr>
        <w:t xml:space="preserve">stated approach of the </w:t>
      </w:r>
      <w:r w:rsidR="002846C5">
        <w:rPr>
          <w:rFonts w:ascii="Century Gothic" w:hAnsi="Century Gothic"/>
          <w:sz w:val="24"/>
          <w:szCs w:val="24"/>
        </w:rPr>
        <w:t xml:space="preserve">government </w:t>
      </w:r>
      <w:r w:rsidR="00891206">
        <w:rPr>
          <w:rFonts w:ascii="Century Gothic" w:hAnsi="Century Gothic"/>
          <w:sz w:val="24"/>
          <w:szCs w:val="24"/>
        </w:rPr>
        <w:t>which is</w:t>
      </w:r>
      <w:r w:rsidR="00C75163">
        <w:rPr>
          <w:rFonts w:ascii="Century Gothic" w:hAnsi="Century Gothic"/>
          <w:sz w:val="24"/>
          <w:szCs w:val="24"/>
        </w:rPr>
        <w:t xml:space="preserve"> </w:t>
      </w:r>
      <w:r w:rsidR="002846C5">
        <w:rPr>
          <w:rFonts w:ascii="Century Gothic" w:hAnsi="Century Gothic"/>
          <w:sz w:val="24"/>
          <w:szCs w:val="24"/>
        </w:rPr>
        <w:t xml:space="preserve">that those seeking to live in the UK must do </w:t>
      </w:r>
      <w:r w:rsidR="002846C5">
        <w:rPr>
          <w:rFonts w:ascii="Century Gothic" w:hAnsi="Century Gothic"/>
          <w:sz w:val="24"/>
          <w:szCs w:val="24"/>
        </w:rPr>
        <w:lastRenderedPageBreak/>
        <w:t xml:space="preserve">so </w:t>
      </w:r>
      <w:r w:rsidR="00C75163">
        <w:rPr>
          <w:rFonts w:ascii="Century Gothic" w:hAnsi="Century Gothic"/>
          <w:sz w:val="24"/>
          <w:szCs w:val="24"/>
        </w:rPr>
        <w:t>on a basis that “prevents burdens on the taxpayer and promotes integration”</w:t>
      </w:r>
      <w:r w:rsidR="002846C5">
        <w:rPr>
          <w:rFonts w:ascii="Century Gothic" w:hAnsi="Century Gothic"/>
          <w:sz w:val="24"/>
          <w:szCs w:val="24"/>
        </w:rPr>
        <w:t xml:space="preserve">.  </w:t>
      </w:r>
    </w:p>
    <w:p w:rsidR="00C75163" w:rsidRDefault="00C75163" w:rsidP="002846C5">
      <w:pPr>
        <w:pStyle w:val="BodyText"/>
        <w:spacing w:after="0" w:line="360" w:lineRule="auto"/>
        <w:rPr>
          <w:rFonts w:ascii="Century Gothic" w:hAnsi="Century Gothic"/>
          <w:sz w:val="24"/>
          <w:szCs w:val="24"/>
        </w:rPr>
      </w:pPr>
    </w:p>
    <w:p w:rsidR="00C75163" w:rsidRDefault="002846C5" w:rsidP="002846C5">
      <w:pPr>
        <w:pStyle w:val="BodyText"/>
        <w:spacing w:after="0" w:line="360" w:lineRule="auto"/>
        <w:rPr>
          <w:rFonts w:ascii="Century Gothic" w:hAnsi="Century Gothic"/>
          <w:sz w:val="24"/>
          <w:szCs w:val="24"/>
        </w:rPr>
      </w:pPr>
      <w:r>
        <w:rPr>
          <w:rFonts w:ascii="Century Gothic" w:hAnsi="Century Gothic"/>
          <w:sz w:val="24"/>
          <w:szCs w:val="24"/>
        </w:rPr>
        <w:t xml:space="preserve">The </w:t>
      </w:r>
      <w:r w:rsidR="00281157">
        <w:rPr>
          <w:rFonts w:ascii="Century Gothic" w:hAnsi="Century Gothic"/>
          <w:sz w:val="24"/>
          <w:szCs w:val="24"/>
        </w:rPr>
        <w:t xml:space="preserve">most recent </w:t>
      </w:r>
      <w:r>
        <w:rPr>
          <w:rFonts w:ascii="Century Gothic" w:hAnsi="Century Gothic"/>
          <w:sz w:val="24"/>
          <w:szCs w:val="24"/>
        </w:rPr>
        <w:t xml:space="preserve">Home Office </w:t>
      </w:r>
      <w:r w:rsidR="00281157">
        <w:rPr>
          <w:rFonts w:ascii="Century Gothic" w:hAnsi="Century Gothic"/>
          <w:sz w:val="24"/>
          <w:szCs w:val="24"/>
        </w:rPr>
        <w:t>polic</w:t>
      </w:r>
      <w:r>
        <w:rPr>
          <w:rFonts w:ascii="Century Gothic" w:hAnsi="Century Gothic"/>
          <w:sz w:val="24"/>
          <w:szCs w:val="24"/>
        </w:rPr>
        <w:t>y</w:t>
      </w:r>
      <w:r w:rsidR="00281157">
        <w:rPr>
          <w:rFonts w:ascii="Century Gothic" w:hAnsi="Century Gothic"/>
          <w:sz w:val="24"/>
          <w:szCs w:val="24"/>
        </w:rPr>
        <w:t xml:space="preserve"> on the type of leave to be granted</w:t>
      </w:r>
      <w:r>
        <w:rPr>
          <w:rFonts w:ascii="Century Gothic" w:hAnsi="Century Gothic"/>
          <w:sz w:val="24"/>
          <w:szCs w:val="24"/>
        </w:rPr>
        <w:t xml:space="preserve"> states that leave will be granted subject to a condition of no r</w:t>
      </w:r>
      <w:r w:rsidR="00C75163">
        <w:rPr>
          <w:rFonts w:ascii="Century Gothic" w:hAnsi="Century Gothic"/>
          <w:sz w:val="24"/>
          <w:szCs w:val="24"/>
        </w:rPr>
        <w:t>ecourse to public funds, unless:</w:t>
      </w:r>
    </w:p>
    <w:p w:rsidR="00C75163" w:rsidRDefault="00C75163" w:rsidP="002846C5">
      <w:pPr>
        <w:pStyle w:val="BodyText"/>
        <w:spacing w:after="0" w:line="360" w:lineRule="auto"/>
        <w:rPr>
          <w:rFonts w:ascii="Century Gothic" w:hAnsi="Century Gothic"/>
          <w:sz w:val="24"/>
          <w:szCs w:val="24"/>
        </w:rPr>
      </w:pPr>
    </w:p>
    <w:p w:rsidR="00D96D4F" w:rsidRDefault="00C75163" w:rsidP="00D96D4F">
      <w:pPr>
        <w:pStyle w:val="BodyText"/>
        <w:numPr>
          <w:ilvl w:val="0"/>
          <w:numId w:val="34"/>
        </w:numPr>
        <w:spacing w:after="0" w:line="360" w:lineRule="auto"/>
        <w:rPr>
          <w:rFonts w:ascii="Century Gothic" w:hAnsi="Century Gothic"/>
          <w:sz w:val="24"/>
          <w:szCs w:val="24"/>
        </w:rPr>
      </w:pPr>
      <w:r w:rsidRPr="00D96D4F">
        <w:rPr>
          <w:rFonts w:ascii="Century Gothic" w:hAnsi="Century Gothic"/>
          <w:sz w:val="24"/>
          <w:szCs w:val="24"/>
        </w:rPr>
        <w:t xml:space="preserve">the applicant has provided satisfactory evidence that they are destitute; or </w:t>
      </w:r>
    </w:p>
    <w:p w:rsidR="00D96D4F" w:rsidRDefault="00C75163" w:rsidP="00D96D4F">
      <w:pPr>
        <w:pStyle w:val="BodyText"/>
        <w:numPr>
          <w:ilvl w:val="0"/>
          <w:numId w:val="34"/>
        </w:numPr>
        <w:spacing w:after="0" w:line="360" w:lineRule="auto"/>
        <w:rPr>
          <w:rFonts w:ascii="Century Gothic" w:hAnsi="Century Gothic"/>
          <w:sz w:val="24"/>
          <w:szCs w:val="24"/>
        </w:rPr>
      </w:pPr>
      <w:r w:rsidRPr="00D96D4F">
        <w:rPr>
          <w:rFonts w:ascii="Century Gothic" w:hAnsi="Century Gothic"/>
          <w:sz w:val="24"/>
          <w:szCs w:val="24"/>
        </w:rPr>
        <w:t xml:space="preserve">the applicant has provided satisfactory evidence that there are particularly compelling reasons relating to the welfare of a child on account of the child’s parent’s very low income; </w:t>
      </w:r>
    </w:p>
    <w:p w:rsidR="00D96D4F" w:rsidRDefault="00C75163" w:rsidP="00D96D4F">
      <w:pPr>
        <w:pStyle w:val="BodyText"/>
        <w:numPr>
          <w:ilvl w:val="0"/>
          <w:numId w:val="34"/>
        </w:numPr>
        <w:spacing w:after="0" w:line="360" w:lineRule="auto"/>
        <w:rPr>
          <w:rFonts w:ascii="Century Gothic" w:hAnsi="Century Gothic"/>
          <w:sz w:val="24"/>
          <w:szCs w:val="24"/>
        </w:rPr>
      </w:pPr>
      <w:r w:rsidRPr="00D96D4F">
        <w:rPr>
          <w:rFonts w:ascii="Century Gothic" w:hAnsi="Century Gothic"/>
          <w:sz w:val="24"/>
          <w:szCs w:val="24"/>
        </w:rPr>
        <w:t xml:space="preserve">the decision maker exercises discretion not to impose, or to lift, the no recourse to public funds condition code because the applicant has established exceptional circumstances in their case relating to their financial circumstances which, in the view of the decision maker, require the no recourse to public funds condition code not to be imposed or to be lifted. </w:t>
      </w:r>
    </w:p>
    <w:p w:rsidR="00C75163" w:rsidRPr="00891206" w:rsidRDefault="00891206" w:rsidP="002846C5">
      <w:pPr>
        <w:pStyle w:val="BodyText"/>
        <w:spacing w:after="0" w:line="360" w:lineRule="auto"/>
        <w:rPr>
          <w:rFonts w:ascii="Century Gothic" w:hAnsi="Century Gothic"/>
          <w:sz w:val="24"/>
          <w:szCs w:val="24"/>
        </w:rPr>
      </w:pPr>
      <w:r w:rsidRPr="00891206">
        <w:rPr>
          <w:rFonts w:ascii="Century Gothic" w:hAnsi="Century Gothic"/>
          <w:sz w:val="24"/>
          <w:szCs w:val="24"/>
        </w:rPr>
        <w:t xml:space="preserve">NB. The NRPF condition has been dealt with </w:t>
      </w:r>
      <w:r w:rsidR="00281157">
        <w:rPr>
          <w:rFonts w:ascii="Century Gothic" w:hAnsi="Century Gothic"/>
          <w:sz w:val="24"/>
          <w:szCs w:val="24"/>
        </w:rPr>
        <w:t xml:space="preserve">more fully </w:t>
      </w:r>
      <w:r w:rsidRPr="00891206">
        <w:rPr>
          <w:rFonts w:ascii="Century Gothic" w:hAnsi="Century Gothic"/>
          <w:sz w:val="24"/>
          <w:szCs w:val="24"/>
        </w:rPr>
        <w:t xml:space="preserve">in other research and is only part of this study in terms of impact on clients. </w:t>
      </w:r>
    </w:p>
    <w:p w:rsidR="00891206" w:rsidRDefault="00891206" w:rsidP="00C75163">
      <w:pPr>
        <w:pStyle w:val="BodyText"/>
        <w:spacing w:after="0" w:line="360" w:lineRule="auto"/>
        <w:rPr>
          <w:rFonts w:ascii="Century Gothic" w:hAnsi="Century Gothic"/>
          <w:sz w:val="24"/>
          <w:szCs w:val="24"/>
        </w:rPr>
      </w:pPr>
    </w:p>
    <w:p w:rsidR="002846C5" w:rsidRDefault="00891206" w:rsidP="00C75163">
      <w:pPr>
        <w:pStyle w:val="BodyText"/>
        <w:spacing w:after="0" w:line="360" w:lineRule="auto"/>
        <w:rPr>
          <w:rFonts w:ascii="Century Gothic" w:hAnsi="Century Gothic"/>
          <w:sz w:val="24"/>
          <w:szCs w:val="24"/>
        </w:rPr>
      </w:pPr>
      <w:r>
        <w:rPr>
          <w:rFonts w:ascii="Century Gothic" w:hAnsi="Century Gothic"/>
          <w:sz w:val="24"/>
          <w:szCs w:val="24"/>
        </w:rPr>
        <w:t>Home Office p</w:t>
      </w:r>
      <w:r w:rsidR="00A207B8">
        <w:rPr>
          <w:rFonts w:ascii="Century Gothic" w:hAnsi="Century Gothic"/>
          <w:sz w:val="24"/>
          <w:szCs w:val="24"/>
        </w:rPr>
        <w:t xml:space="preserve">olicy on </w:t>
      </w:r>
      <w:r w:rsidR="00D96D4F">
        <w:rPr>
          <w:rFonts w:ascii="Century Gothic" w:hAnsi="Century Gothic"/>
          <w:sz w:val="24"/>
          <w:szCs w:val="24"/>
        </w:rPr>
        <w:t xml:space="preserve">the amount of </w:t>
      </w:r>
      <w:r w:rsidR="00A207B8">
        <w:rPr>
          <w:rFonts w:ascii="Century Gothic" w:hAnsi="Century Gothic"/>
          <w:sz w:val="24"/>
          <w:szCs w:val="24"/>
        </w:rPr>
        <w:t>leave to remain</w:t>
      </w:r>
      <w:r w:rsidR="00DC3CA0">
        <w:rPr>
          <w:rFonts w:ascii="Century Gothic" w:hAnsi="Century Gothic"/>
          <w:sz w:val="24"/>
          <w:szCs w:val="24"/>
        </w:rPr>
        <w:t xml:space="preserve"> </w:t>
      </w:r>
      <w:r w:rsidR="00D96D4F">
        <w:rPr>
          <w:rFonts w:ascii="Century Gothic" w:hAnsi="Century Gothic"/>
          <w:sz w:val="24"/>
          <w:szCs w:val="24"/>
        </w:rPr>
        <w:t xml:space="preserve">to be granted </w:t>
      </w:r>
      <w:r w:rsidR="00DC3CA0">
        <w:rPr>
          <w:rFonts w:ascii="Century Gothic" w:hAnsi="Century Gothic"/>
          <w:sz w:val="24"/>
          <w:szCs w:val="24"/>
        </w:rPr>
        <w:t>has also been amended</w:t>
      </w:r>
      <w:r w:rsidR="00D96D4F">
        <w:rPr>
          <w:rFonts w:ascii="Century Gothic" w:hAnsi="Century Gothic"/>
          <w:sz w:val="24"/>
          <w:szCs w:val="24"/>
        </w:rPr>
        <w:t xml:space="preserve"> on numerous occasions</w:t>
      </w:r>
      <w:r w:rsidR="00DC3CA0">
        <w:rPr>
          <w:rFonts w:ascii="Century Gothic" w:hAnsi="Century Gothic"/>
          <w:sz w:val="24"/>
          <w:szCs w:val="24"/>
        </w:rPr>
        <w:t>; it is clear that the onus is on the applicant to establish why a longer grant of leave or ILR is appropriate.</w:t>
      </w:r>
    </w:p>
    <w:p w:rsidR="00DC3CA0" w:rsidRDefault="00DC3CA0" w:rsidP="00C75163">
      <w:pPr>
        <w:pStyle w:val="BodyText"/>
        <w:spacing w:after="0" w:line="360" w:lineRule="auto"/>
        <w:rPr>
          <w:rFonts w:ascii="Century Gothic" w:hAnsi="Century Gothic"/>
          <w:sz w:val="24"/>
          <w:szCs w:val="24"/>
        </w:rPr>
      </w:pPr>
    </w:p>
    <w:p w:rsidR="00DC3CA0" w:rsidRDefault="00DC3CA0" w:rsidP="00DC3CA0">
      <w:pPr>
        <w:pStyle w:val="BodyText"/>
        <w:spacing w:after="0" w:line="360" w:lineRule="auto"/>
        <w:rPr>
          <w:rFonts w:ascii="Century Gothic" w:hAnsi="Century Gothic"/>
          <w:i/>
          <w:sz w:val="24"/>
          <w:szCs w:val="24"/>
        </w:rPr>
      </w:pPr>
      <w:r>
        <w:rPr>
          <w:rFonts w:ascii="Century Gothic" w:hAnsi="Century Gothic"/>
          <w:sz w:val="24"/>
          <w:szCs w:val="24"/>
        </w:rPr>
        <w:t>The case</w:t>
      </w:r>
      <w:r w:rsidR="00D96D4F">
        <w:rPr>
          <w:rFonts w:ascii="Century Gothic" w:hAnsi="Century Gothic"/>
          <w:sz w:val="24"/>
          <w:szCs w:val="24"/>
        </w:rPr>
        <w:t>-</w:t>
      </w:r>
      <w:r>
        <w:rPr>
          <w:rFonts w:ascii="Century Gothic" w:hAnsi="Century Gothic"/>
          <w:sz w:val="24"/>
          <w:szCs w:val="24"/>
        </w:rPr>
        <w:t>law</w:t>
      </w:r>
      <w:r w:rsidR="00D96D4F">
        <w:rPr>
          <w:rFonts w:ascii="Century Gothic" w:hAnsi="Century Gothic"/>
          <w:sz w:val="24"/>
          <w:szCs w:val="24"/>
        </w:rPr>
        <w:t xml:space="preserve"> to date</w:t>
      </w:r>
      <w:r>
        <w:rPr>
          <w:rFonts w:ascii="Century Gothic" w:hAnsi="Century Gothic"/>
          <w:sz w:val="24"/>
          <w:szCs w:val="24"/>
        </w:rPr>
        <w:t xml:space="preserve"> </w:t>
      </w:r>
      <w:r w:rsidR="00D96D4F">
        <w:rPr>
          <w:rFonts w:ascii="Century Gothic" w:hAnsi="Century Gothic"/>
          <w:sz w:val="24"/>
          <w:szCs w:val="24"/>
        </w:rPr>
        <w:t>accepts</w:t>
      </w:r>
      <w:r>
        <w:rPr>
          <w:rFonts w:ascii="Century Gothic" w:hAnsi="Century Gothic"/>
          <w:sz w:val="24"/>
          <w:szCs w:val="24"/>
        </w:rPr>
        <w:t xml:space="preserve"> that the Secretary of State </w:t>
      </w:r>
      <w:r w:rsidR="00D96D4F">
        <w:rPr>
          <w:rFonts w:ascii="Century Gothic" w:hAnsi="Century Gothic"/>
          <w:sz w:val="24"/>
          <w:szCs w:val="24"/>
        </w:rPr>
        <w:t>is</w:t>
      </w:r>
      <w:r>
        <w:rPr>
          <w:rFonts w:ascii="Century Gothic" w:hAnsi="Century Gothic"/>
          <w:sz w:val="24"/>
          <w:szCs w:val="24"/>
        </w:rPr>
        <w:t xml:space="preserve"> entitled in principle to adopt a staged approach to settlement, even where children are the applicants</w:t>
      </w:r>
      <w:r w:rsidR="00891206">
        <w:rPr>
          <w:rFonts w:ascii="Century Gothic" w:hAnsi="Century Gothic"/>
          <w:sz w:val="24"/>
          <w:szCs w:val="24"/>
        </w:rPr>
        <w:t xml:space="preserve"> and that the onus is on the applicant to set out why ILR is appropriate</w:t>
      </w:r>
      <w:r>
        <w:rPr>
          <w:rFonts w:ascii="Century Gothic" w:hAnsi="Century Gothic"/>
          <w:sz w:val="24"/>
          <w:szCs w:val="24"/>
        </w:rPr>
        <w:t>.</w:t>
      </w:r>
      <w:r w:rsidR="00D96D4F" w:rsidRPr="00D96D4F">
        <w:rPr>
          <w:rFonts w:ascii="Century Gothic" w:hAnsi="Century Gothic"/>
          <w:i/>
          <w:sz w:val="24"/>
          <w:szCs w:val="24"/>
        </w:rPr>
        <w:t xml:space="preserve"> </w:t>
      </w:r>
      <w:r w:rsidR="00D96D4F" w:rsidRPr="00891206">
        <w:rPr>
          <w:rFonts w:ascii="Century Gothic" w:hAnsi="Century Gothic"/>
          <w:sz w:val="24"/>
          <w:szCs w:val="24"/>
        </w:rPr>
        <w:t>The Court of Appeal</w:t>
      </w:r>
      <w:r w:rsidR="00D96D4F">
        <w:rPr>
          <w:rFonts w:ascii="Century Gothic" w:hAnsi="Century Gothic"/>
          <w:i/>
          <w:sz w:val="24"/>
          <w:szCs w:val="24"/>
        </w:rPr>
        <w:t xml:space="preserve"> in </w:t>
      </w:r>
      <w:r w:rsidR="00D96D4F" w:rsidRPr="0048628D">
        <w:rPr>
          <w:rFonts w:ascii="Century Gothic" w:hAnsi="Century Gothic"/>
          <w:i/>
          <w:sz w:val="24"/>
          <w:szCs w:val="24"/>
        </w:rPr>
        <w:t xml:space="preserve">R on the Application of </w:t>
      </w:r>
      <w:proofErr w:type="spellStart"/>
      <w:r w:rsidR="00D96D4F" w:rsidRPr="0048628D">
        <w:rPr>
          <w:rFonts w:ascii="Century Gothic" w:hAnsi="Century Gothic"/>
          <w:i/>
          <w:sz w:val="24"/>
          <w:szCs w:val="24"/>
        </w:rPr>
        <w:t>Alladin</w:t>
      </w:r>
      <w:proofErr w:type="spellEnd"/>
      <w:r w:rsidR="00D96D4F" w:rsidRPr="0048628D">
        <w:rPr>
          <w:rFonts w:ascii="Century Gothic" w:hAnsi="Century Gothic"/>
          <w:i/>
          <w:sz w:val="24"/>
          <w:szCs w:val="24"/>
        </w:rPr>
        <w:t xml:space="preserve"> v The Secretary of State for the Home Department</w:t>
      </w:r>
      <w:r w:rsidR="00D96D4F">
        <w:rPr>
          <w:rFonts w:ascii="Century Gothic" w:hAnsi="Century Gothic"/>
          <w:sz w:val="24"/>
          <w:szCs w:val="24"/>
        </w:rPr>
        <w:t xml:space="preserve"> [2014] EW </w:t>
      </w:r>
      <w:r w:rsidR="00D96D4F">
        <w:rPr>
          <w:rFonts w:ascii="Century Gothic" w:hAnsi="Century Gothic"/>
          <w:sz w:val="24"/>
          <w:szCs w:val="24"/>
        </w:rPr>
        <w:lastRenderedPageBreak/>
        <w:t>CA CIV I334 states</w:t>
      </w:r>
      <w:proofErr w:type="gramStart"/>
      <w:r w:rsidR="00D96D4F">
        <w:rPr>
          <w:rFonts w:ascii="Century Gothic" w:hAnsi="Century Gothic"/>
          <w:sz w:val="24"/>
          <w:szCs w:val="24"/>
        </w:rPr>
        <w:t xml:space="preserve">, </w:t>
      </w:r>
      <w:r w:rsidRPr="00DC3CA0">
        <w:rPr>
          <w:rFonts w:ascii="Century Gothic" w:hAnsi="Century Gothic"/>
          <w:sz w:val="24"/>
          <w:szCs w:val="24"/>
        </w:rPr>
        <w:t xml:space="preserve"> </w:t>
      </w:r>
      <w:r w:rsidRPr="0009092E">
        <w:rPr>
          <w:rFonts w:ascii="Century Gothic" w:hAnsi="Century Gothic"/>
          <w:i/>
          <w:sz w:val="24"/>
          <w:szCs w:val="24"/>
        </w:rPr>
        <w:t>"</w:t>
      </w:r>
      <w:proofErr w:type="gramEnd"/>
      <w:r w:rsidRPr="0009092E">
        <w:rPr>
          <w:rFonts w:ascii="Century Gothic" w:hAnsi="Century Gothic"/>
          <w:i/>
          <w:sz w:val="24"/>
          <w:szCs w:val="24"/>
        </w:rPr>
        <w:t>it follows that an applicant who wishes to persuade the Secretary of State to grant her leave for a period longer than that provided for by the staged settlement policy has to do more than point to the fact that she is a child."</w:t>
      </w:r>
      <w:r>
        <w:rPr>
          <w:rFonts w:ascii="Century Gothic" w:hAnsi="Century Gothic"/>
          <w:i/>
          <w:sz w:val="24"/>
          <w:szCs w:val="24"/>
        </w:rPr>
        <w:t xml:space="preserve"> </w:t>
      </w:r>
    </w:p>
    <w:p w:rsidR="00891206" w:rsidRDefault="00891206" w:rsidP="00891206">
      <w:pPr>
        <w:pStyle w:val="BodyText"/>
        <w:spacing w:after="0" w:line="360" w:lineRule="auto"/>
        <w:ind w:left="567"/>
        <w:rPr>
          <w:rFonts w:ascii="Century Gothic" w:hAnsi="Century Gothic"/>
          <w:i/>
          <w:sz w:val="24"/>
          <w:szCs w:val="24"/>
        </w:rPr>
      </w:pPr>
    </w:p>
    <w:p w:rsidR="005B7F0F" w:rsidRPr="00C739F9" w:rsidRDefault="00D4608F" w:rsidP="000F1C96">
      <w:pPr>
        <w:pStyle w:val="BodyText"/>
        <w:spacing w:after="0" w:line="360" w:lineRule="auto"/>
        <w:ind w:left="567"/>
        <w:rPr>
          <w:rFonts w:ascii="Century Gothic" w:hAnsi="Century Gothic"/>
          <w:i/>
          <w:sz w:val="24"/>
          <w:szCs w:val="24"/>
        </w:rPr>
      </w:pPr>
      <w:r w:rsidRPr="00C739F9">
        <w:rPr>
          <w:rFonts w:ascii="Century Gothic" w:hAnsi="Century Gothic"/>
          <w:i/>
          <w:sz w:val="24"/>
          <w:szCs w:val="24"/>
        </w:rPr>
        <w:t>Best interests of the child</w:t>
      </w:r>
    </w:p>
    <w:p w:rsidR="00D4608F" w:rsidRDefault="00D4608F" w:rsidP="00B2407D">
      <w:pPr>
        <w:pStyle w:val="BodyText"/>
        <w:spacing w:after="0" w:line="360" w:lineRule="auto"/>
        <w:rPr>
          <w:rFonts w:ascii="Century Gothic" w:hAnsi="Century Gothic"/>
          <w:sz w:val="24"/>
          <w:szCs w:val="24"/>
        </w:rPr>
      </w:pPr>
    </w:p>
    <w:p w:rsidR="00B2407D" w:rsidRDefault="00B2407D" w:rsidP="00B2407D">
      <w:pPr>
        <w:pStyle w:val="BodyText"/>
        <w:spacing w:after="0" w:line="360" w:lineRule="auto"/>
        <w:rPr>
          <w:rFonts w:ascii="Century Gothic" w:hAnsi="Century Gothic"/>
          <w:sz w:val="24"/>
          <w:szCs w:val="24"/>
        </w:rPr>
      </w:pPr>
      <w:r>
        <w:rPr>
          <w:rFonts w:ascii="Century Gothic" w:hAnsi="Century Gothic"/>
          <w:sz w:val="24"/>
          <w:szCs w:val="24"/>
        </w:rPr>
        <w:t>The UN Convention on the Rights of the</w:t>
      </w:r>
      <w:r w:rsidR="00DC3CA0">
        <w:rPr>
          <w:rFonts w:ascii="Century Gothic" w:hAnsi="Century Gothic"/>
          <w:sz w:val="24"/>
          <w:szCs w:val="24"/>
        </w:rPr>
        <w:t xml:space="preserve"> </w:t>
      </w:r>
      <w:r>
        <w:rPr>
          <w:rFonts w:ascii="Century Gothic" w:hAnsi="Century Gothic"/>
          <w:sz w:val="24"/>
          <w:szCs w:val="24"/>
        </w:rPr>
        <w:t>Child</w:t>
      </w:r>
      <w:r w:rsidR="00DC3CA0">
        <w:rPr>
          <w:rFonts w:ascii="Century Gothic" w:hAnsi="Century Gothic"/>
          <w:sz w:val="24"/>
          <w:szCs w:val="24"/>
        </w:rPr>
        <w:t xml:space="preserve"> (UNCRC)</w:t>
      </w:r>
    </w:p>
    <w:p w:rsidR="00B2407D" w:rsidRDefault="00B2407D" w:rsidP="00B2407D">
      <w:pPr>
        <w:pStyle w:val="BodyText"/>
        <w:spacing w:after="0" w:line="360" w:lineRule="auto"/>
        <w:rPr>
          <w:rFonts w:ascii="Century Gothic" w:hAnsi="Century Gothic"/>
          <w:sz w:val="24"/>
          <w:szCs w:val="24"/>
        </w:rPr>
      </w:pPr>
    </w:p>
    <w:p w:rsidR="00D4608F" w:rsidRDefault="00D4608F" w:rsidP="00B2407D">
      <w:pPr>
        <w:pStyle w:val="BodyText"/>
        <w:spacing w:after="0" w:line="360" w:lineRule="auto"/>
        <w:rPr>
          <w:rFonts w:ascii="Century Gothic" w:hAnsi="Century Gothic"/>
          <w:sz w:val="24"/>
          <w:szCs w:val="24"/>
        </w:rPr>
      </w:pPr>
      <w:r>
        <w:rPr>
          <w:rFonts w:ascii="Century Gothic" w:hAnsi="Century Gothic"/>
          <w:sz w:val="24"/>
          <w:szCs w:val="24"/>
        </w:rPr>
        <w:t>The UN</w:t>
      </w:r>
      <w:r w:rsidR="00DC3CA0">
        <w:rPr>
          <w:rFonts w:ascii="Century Gothic" w:hAnsi="Century Gothic"/>
          <w:sz w:val="24"/>
          <w:szCs w:val="24"/>
        </w:rPr>
        <w:t xml:space="preserve">CRC </w:t>
      </w:r>
      <w:r>
        <w:rPr>
          <w:rFonts w:ascii="Century Gothic" w:hAnsi="Century Gothic"/>
          <w:sz w:val="24"/>
          <w:szCs w:val="24"/>
        </w:rPr>
        <w:t>at Article 3(1) provides</w:t>
      </w:r>
      <w:r w:rsidR="004B0E43">
        <w:rPr>
          <w:rFonts w:ascii="Century Gothic" w:hAnsi="Century Gothic"/>
          <w:sz w:val="24"/>
          <w:szCs w:val="24"/>
        </w:rPr>
        <w:t xml:space="preserve"> </w:t>
      </w:r>
      <w:r w:rsidR="004B0E43" w:rsidRPr="008F3BD0">
        <w:rPr>
          <w:rFonts w:ascii="Century Gothic" w:hAnsi="Century Gothic"/>
          <w:i/>
          <w:sz w:val="24"/>
          <w:szCs w:val="24"/>
        </w:rPr>
        <w:t>"in all actions concerning children</w:t>
      </w:r>
      <w:r w:rsidR="007B279E" w:rsidRPr="008F3BD0">
        <w:rPr>
          <w:rFonts w:ascii="Century Gothic" w:hAnsi="Century Gothic"/>
          <w:i/>
          <w:sz w:val="24"/>
          <w:szCs w:val="24"/>
        </w:rPr>
        <w:t>, whether undertaken by public or private social welfare institutions, courts of law, administrative authorities or legislative bodies</w:t>
      </w:r>
      <w:r w:rsidR="008F3BD0" w:rsidRPr="008F3BD0">
        <w:rPr>
          <w:rFonts w:ascii="Century Gothic" w:hAnsi="Century Gothic"/>
          <w:i/>
          <w:sz w:val="24"/>
          <w:szCs w:val="24"/>
        </w:rPr>
        <w:t>, the best interests of the child shall be a primary consideration."</w:t>
      </w:r>
    </w:p>
    <w:p w:rsidR="008F3BD0" w:rsidRPr="00DC3CA0" w:rsidRDefault="008F3BD0" w:rsidP="00B2407D">
      <w:pPr>
        <w:pStyle w:val="BodyText"/>
        <w:spacing w:after="0" w:line="360" w:lineRule="auto"/>
        <w:rPr>
          <w:rFonts w:ascii="Century Gothic" w:hAnsi="Century Gothic"/>
          <w:sz w:val="24"/>
          <w:szCs w:val="24"/>
        </w:rPr>
      </w:pPr>
    </w:p>
    <w:p w:rsidR="0068108F" w:rsidRPr="0068108F" w:rsidRDefault="0068108F" w:rsidP="0068108F">
      <w:pPr>
        <w:pStyle w:val="ListParagraph1"/>
        <w:spacing w:line="360" w:lineRule="auto"/>
        <w:ind w:left="0"/>
        <w:jc w:val="both"/>
        <w:rPr>
          <w:rFonts w:ascii="Century Gothic" w:hAnsi="Century Gothic" w:cs="Arial"/>
          <w:sz w:val="24"/>
          <w:szCs w:val="24"/>
          <w:u w:val="single"/>
        </w:rPr>
      </w:pPr>
      <w:r w:rsidRPr="0068108F">
        <w:rPr>
          <w:rFonts w:ascii="Century Gothic" w:hAnsi="Century Gothic" w:cs="Arial"/>
          <w:sz w:val="24"/>
          <w:szCs w:val="24"/>
        </w:rPr>
        <w:t xml:space="preserve">Section 55 of the </w:t>
      </w:r>
      <w:r w:rsidRPr="0068108F">
        <w:rPr>
          <w:rFonts w:ascii="Century Gothic" w:hAnsi="Century Gothic" w:cs="Arial"/>
          <w:sz w:val="24"/>
          <w:szCs w:val="24"/>
          <w:lang w:val="en-US"/>
        </w:rPr>
        <w:t>Borders, Citizenship and Immigration Act 2009 (“2009 Act”) provides:</w:t>
      </w:r>
    </w:p>
    <w:p w:rsidR="0068108F" w:rsidRPr="0068108F" w:rsidRDefault="0068108F" w:rsidP="0068108F">
      <w:pPr>
        <w:pStyle w:val="ListParagraph1"/>
        <w:ind w:left="1440"/>
        <w:jc w:val="both"/>
        <w:rPr>
          <w:rFonts w:ascii="Century Gothic" w:hAnsi="Century Gothic" w:cs="Arial"/>
          <w:i/>
          <w:sz w:val="24"/>
          <w:szCs w:val="24"/>
          <w:u w:val="single"/>
        </w:rPr>
      </w:pPr>
      <w:r w:rsidRPr="0068108F">
        <w:rPr>
          <w:rFonts w:ascii="Century Gothic" w:hAnsi="Century Gothic" w:cs="Arial"/>
          <w:i/>
          <w:sz w:val="24"/>
          <w:szCs w:val="24"/>
          <w:lang w:val="en-US"/>
        </w:rPr>
        <w:t>Duty regarding the welfare of children</w:t>
      </w:r>
    </w:p>
    <w:p w:rsidR="0068108F" w:rsidRPr="0068108F" w:rsidRDefault="0068108F" w:rsidP="0068108F">
      <w:pPr>
        <w:pStyle w:val="ListParagraph1"/>
        <w:ind w:left="1440"/>
        <w:jc w:val="both"/>
        <w:rPr>
          <w:rFonts w:ascii="Century Gothic" w:hAnsi="Century Gothic" w:cs="Arial"/>
          <w:i/>
          <w:sz w:val="24"/>
          <w:szCs w:val="24"/>
          <w:lang w:val="en-US"/>
        </w:rPr>
      </w:pPr>
      <w:r w:rsidRPr="0068108F">
        <w:rPr>
          <w:rFonts w:ascii="Century Gothic" w:hAnsi="Century Gothic" w:cs="Arial"/>
          <w:i/>
          <w:sz w:val="24"/>
          <w:szCs w:val="24"/>
          <w:lang w:val="en-US"/>
        </w:rPr>
        <w:t>(1) The Secretary of State must make arrangements for ensuring that—</w:t>
      </w:r>
    </w:p>
    <w:p w:rsidR="0068108F" w:rsidRPr="0068108F" w:rsidRDefault="0068108F" w:rsidP="0068108F">
      <w:pPr>
        <w:pStyle w:val="ListParagraph1"/>
        <w:numPr>
          <w:ilvl w:val="0"/>
          <w:numId w:val="36"/>
        </w:numPr>
        <w:ind w:left="1440"/>
        <w:jc w:val="both"/>
        <w:rPr>
          <w:rFonts w:ascii="Century Gothic" w:hAnsi="Century Gothic" w:cs="Arial"/>
          <w:i/>
          <w:sz w:val="24"/>
          <w:szCs w:val="24"/>
          <w:lang w:val="en-US"/>
        </w:rPr>
      </w:pPr>
      <w:r w:rsidRPr="0068108F">
        <w:rPr>
          <w:rFonts w:ascii="Century Gothic" w:hAnsi="Century Gothic" w:cs="Arial"/>
          <w:i/>
          <w:sz w:val="24"/>
          <w:szCs w:val="24"/>
          <w:lang w:val="en-US"/>
        </w:rPr>
        <w:t xml:space="preserve">(a)  the functions mentioned in subsection (2) are discharged having regard to the need to safeguard and promote the welfare of children who are </w:t>
      </w:r>
      <w:r w:rsidRPr="0068108F">
        <w:rPr>
          <w:rFonts w:ascii="Century Gothic" w:eastAsia="MS Gothic" w:hAnsi="MS Gothic" w:cs="MS Gothic"/>
          <w:i/>
          <w:sz w:val="24"/>
          <w:szCs w:val="24"/>
          <w:lang w:val="en-US"/>
        </w:rPr>
        <w:t> </w:t>
      </w:r>
      <w:r w:rsidRPr="0068108F">
        <w:rPr>
          <w:rFonts w:ascii="Century Gothic" w:hAnsi="Century Gothic" w:cs="Arial"/>
          <w:i/>
          <w:sz w:val="24"/>
          <w:szCs w:val="24"/>
          <w:lang w:val="en-US"/>
        </w:rPr>
        <w:t xml:space="preserve">in the United Kingdom, and </w:t>
      </w:r>
    </w:p>
    <w:p w:rsidR="0068108F" w:rsidRPr="0068108F" w:rsidRDefault="0068108F" w:rsidP="0068108F">
      <w:pPr>
        <w:pStyle w:val="ListParagraph1"/>
        <w:numPr>
          <w:ilvl w:val="0"/>
          <w:numId w:val="36"/>
        </w:numPr>
        <w:ind w:left="1440"/>
        <w:jc w:val="both"/>
        <w:rPr>
          <w:rFonts w:ascii="Century Gothic" w:hAnsi="Century Gothic" w:cs="Arial"/>
          <w:i/>
          <w:sz w:val="24"/>
          <w:szCs w:val="24"/>
          <w:lang w:val="en-US"/>
        </w:rPr>
      </w:pPr>
      <w:r w:rsidRPr="0068108F">
        <w:rPr>
          <w:rFonts w:ascii="Century Gothic" w:hAnsi="Century Gothic" w:cs="Arial"/>
          <w:i/>
          <w:sz w:val="24"/>
          <w:szCs w:val="24"/>
          <w:lang w:val="en-US"/>
        </w:rPr>
        <w:t xml:space="preserve">(b)  any services provided by another person pursuant to arrangements which are made by the Secretary of State and relate to the discharge of a function mentioned in subsection (2) are provided having regard to that need. </w:t>
      </w:r>
    </w:p>
    <w:p w:rsidR="008564F4" w:rsidRPr="00DC3CA0" w:rsidRDefault="008564F4" w:rsidP="008564F4">
      <w:pPr>
        <w:rPr>
          <w:rFonts w:ascii="Century Gothic" w:hAnsi="Century Gothic"/>
          <w:sz w:val="24"/>
          <w:szCs w:val="24"/>
        </w:rPr>
      </w:pPr>
    </w:p>
    <w:p w:rsidR="006F6D66" w:rsidRDefault="00DC3CA0" w:rsidP="00B2407D">
      <w:pPr>
        <w:pStyle w:val="BodyText"/>
        <w:spacing w:after="0" w:line="360" w:lineRule="auto"/>
        <w:rPr>
          <w:rFonts w:ascii="Century Gothic" w:hAnsi="Century Gothic"/>
          <w:sz w:val="24"/>
          <w:szCs w:val="24"/>
        </w:rPr>
      </w:pPr>
      <w:r>
        <w:rPr>
          <w:rFonts w:ascii="Century Gothic" w:hAnsi="Century Gothic"/>
          <w:sz w:val="24"/>
          <w:szCs w:val="24"/>
        </w:rPr>
        <w:t>T</w:t>
      </w:r>
      <w:r w:rsidR="006F6D66">
        <w:rPr>
          <w:rFonts w:ascii="Century Gothic" w:hAnsi="Century Gothic"/>
          <w:sz w:val="24"/>
          <w:szCs w:val="24"/>
        </w:rPr>
        <w:t xml:space="preserve">he </w:t>
      </w:r>
      <w:r w:rsidR="00C86827">
        <w:rPr>
          <w:rFonts w:ascii="Century Gothic" w:hAnsi="Century Gothic"/>
          <w:sz w:val="24"/>
          <w:szCs w:val="24"/>
        </w:rPr>
        <w:t>courts</w:t>
      </w:r>
      <w:r w:rsidR="006F6D66">
        <w:rPr>
          <w:rFonts w:ascii="Century Gothic" w:hAnsi="Century Gothic"/>
          <w:sz w:val="24"/>
          <w:szCs w:val="24"/>
        </w:rPr>
        <w:t xml:space="preserve"> have considered the issue of the best interests of the child</w:t>
      </w:r>
      <w:r w:rsidR="00C86827">
        <w:rPr>
          <w:rFonts w:ascii="Century Gothic" w:hAnsi="Century Gothic"/>
          <w:sz w:val="24"/>
          <w:szCs w:val="24"/>
        </w:rPr>
        <w:t xml:space="preserve"> in numerous decisions since ZH Tanzan</w:t>
      </w:r>
      <w:r w:rsidR="008564F4">
        <w:rPr>
          <w:rFonts w:ascii="Century Gothic" w:hAnsi="Century Gothic"/>
          <w:sz w:val="24"/>
          <w:szCs w:val="24"/>
        </w:rPr>
        <w:t>ia</w:t>
      </w:r>
      <w:r w:rsidR="00F33E96">
        <w:rPr>
          <w:rFonts w:ascii="Century Gothic" w:hAnsi="Century Gothic"/>
          <w:sz w:val="24"/>
          <w:szCs w:val="24"/>
        </w:rPr>
        <w:t xml:space="preserve"> and it is possible to show a more narrow definition of </w:t>
      </w:r>
      <w:r w:rsidR="004C7D0D">
        <w:rPr>
          <w:rFonts w:ascii="Century Gothic" w:hAnsi="Century Gothic"/>
          <w:sz w:val="24"/>
          <w:szCs w:val="24"/>
        </w:rPr>
        <w:t xml:space="preserve">the </w:t>
      </w:r>
      <w:r w:rsidR="00F33E96">
        <w:rPr>
          <w:rFonts w:ascii="Century Gothic" w:hAnsi="Century Gothic"/>
          <w:sz w:val="24"/>
          <w:szCs w:val="24"/>
        </w:rPr>
        <w:t xml:space="preserve">best </w:t>
      </w:r>
      <w:proofErr w:type="gramStart"/>
      <w:r w:rsidR="00F33E96">
        <w:rPr>
          <w:rFonts w:ascii="Century Gothic" w:hAnsi="Century Gothic"/>
          <w:sz w:val="24"/>
          <w:szCs w:val="24"/>
        </w:rPr>
        <w:t>interests</w:t>
      </w:r>
      <w:proofErr w:type="gramEnd"/>
      <w:r w:rsidR="00F33E96">
        <w:rPr>
          <w:rFonts w:ascii="Century Gothic" w:hAnsi="Century Gothic"/>
          <w:sz w:val="24"/>
          <w:szCs w:val="24"/>
        </w:rPr>
        <w:t xml:space="preserve"> duty in immigration cases</w:t>
      </w:r>
      <w:r w:rsidR="00C86827">
        <w:rPr>
          <w:rFonts w:ascii="Century Gothic" w:hAnsi="Century Gothic"/>
          <w:sz w:val="24"/>
          <w:szCs w:val="24"/>
        </w:rPr>
        <w:t xml:space="preserve">.  In </w:t>
      </w:r>
      <w:r w:rsidR="00C86827" w:rsidRPr="00C86827">
        <w:rPr>
          <w:rFonts w:ascii="Century Gothic" w:hAnsi="Century Gothic"/>
          <w:i/>
          <w:sz w:val="24"/>
          <w:szCs w:val="24"/>
        </w:rPr>
        <w:t>EV Philippines &amp; Ors</w:t>
      </w:r>
      <w:r w:rsidR="00C86827">
        <w:rPr>
          <w:rFonts w:ascii="Century Gothic" w:hAnsi="Century Gothic"/>
          <w:sz w:val="24"/>
          <w:szCs w:val="24"/>
        </w:rPr>
        <w:t xml:space="preserve"> in the </w:t>
      </w:r>
      <w:r w:rsidR="00891206">
        <w:rPr>
          <w:rFonts w:ascii="Century Gothic" w:hAnsi="Century Gothic"/>
          <w:sz w:val="24"/>
          <w:szCs w:val="24"/>
        </w:rPr>
        <w:t>C</w:t>
      </w:r>
      <w:r w:rsidR="00C86827">
        <w:rPr>
          <w:rFonts w:ascii="Century Gothic" w:hAnsi="Century Gothic"/>
          <w:sz w:val="24"/>
          <w:szCs w:val="24"/>
        </w:rPr>
        <w:t xml:space="preserve">ourt of </w:t>
      </w:r>
      <w:r w:rsidR="00891206">
        <w:rPr>
          <w:rFonts w:ascii="Century Gothic" w:hAnsi="Century Gothic"/>
          <w:sz w:val="24"/>
          <w:szCs w:val="24"/>
        </w:rPr>
        <w:t>A</w:t>
      </w:r>
      <w:r w:rsidR="00C86827">
        <w:rPr>
          <w:rFonts w:ascii="Century Gothic" w:hAnsi="Century Gothic"/>
          <w:sz w:val="24"/>
          <w:szCs w:val="24"/>
        </w:rPr>
        <w:t>ppea</w:t>
      </w:r>
      <w:r w:rsidR="0068108F">
        <w:rPr>
          <w:rFonts w:ascii="Century Gothic" w:hAnsi="Century Gothic"/>
          <w:sz w:val="24"/>
          <w:szCs w:val="24"/>
        </w:rPr>
        <w:t>l</w:t>
      </w:r>
      <w:r w:rsidR="0068108F" w:rsidRPr="0068108F">
        <w:rPr>
          <w:b/>
          <w:bCs/>
          <w:color w:val="000000"/>
          <w:sz w:val="27"/>
          <w:szCs w:val="27"/>
        </w:rPr>
        <w:t xml:space="preserve"> </w:t>
      </w:r>
      <w:r w:rsidR="0068108F" w:rsidRPr="0068108F">
        <w:rPr>
          <w:rFonts w:ascii="Century Gothic" w:hAnsi="Century Gothic"/>
          <w:bCs/>
          <w:color w:val="000000"/>
          <w:sz w:val="24"/>
          <w:szCs w:val="24"/>
        </w:rPr>
        <w:t xml:space="preserve">[2014] EWCA </w:t>
      </w:r>
      <w:proofErr w:type="spellStart"/>
      <w:r w:rsidR="0068108F" w:rsidRPr="0068108F">
        <w:rPr>
          <w:rFonts w:ascii="Century Gothic" w:hAnsi="Century Gothic"/>
          <w:bCs/>
          <w:color w:val="000000"/>
          <w:sz w:val="24"/>
          <w:szCs w:val="24"/>
        </w:rPr>
        <w:t>Civ</w:t>
      </w:r>
      <w:proofErr w:type="spellEnd"/>
      <w:r w:rsidR="0068108F" w:rsidRPr="0068108F">
        <w:rPr>
          <w:rFonts w:ascii="Century Gothic" w:hAnsi="Century Gothic"/>
          <w:bCs/>
          <w:color w:val="000000"/>
          <w:sz w:val="24"/>
          <w:szCs w:val="24"/>
        </w:rPr>
        <w:t xml:space="preserve"> 874</w:t>
      </w:r>
      <w:r w:rsidR="0068108F">
        <w:rPr>
          <w:rFonts w:ascii="Century Gothic" w:hAnsi="Century Gothic"/>
          <w:bCs/>
          <w:color w:val="000000"/>
          <w:sz w:val="24"/>
          <w:szCs w:val="24"/>
        </w:rPr>
        <w:t>t</w:t>
      </w:r>
      <w:r w:rsidR="004E3478">
        <w:rPr>
          <w:rFonts w:ascii="Century Gothic" w:hAnsi="Century Gothic"/>
          <w:sz w:val="24"/>
          <w:szCs w:val="24"/>
        </w:rPr>
        <w:t xml:space="preserve">he issue was </w:t>
      </w:r>
      <w:r w:rsidR="0068108F">
        <w:rPr>
          <w:rFonts w:ascii="Century Gothic" w:hAnsi="Century Gothic"/>
          <w:sz w:val="24"/>
          <w:szCs w:val="24"/>
        </w:rPr>
        <w:t>how</w:t>
      </w:r>
      <w:r w:rsidR="004E3478">
        <w:rPr>
          <w:rFonts w:ascii="Century Gothic" w:hAnsi="Century Gothic"/>
          <w:sz w:val="24"/>
          <w:szCs w:val="24"/>
        </w:rPr>
        <w:t xml:space="preserve"> in a case involving the best interests of the children, </w:t>
      </w:r>
      <w:r w:rsidR="008E2479">
        <w:rPr>
          <w:rFonts w:ascii="Century Gothic" w:hAnsi="Century Gothic"/>
          <w:sz w:val="24"/>
          <w:szCs w:val="24"/>
        </w:rPr>
        <w:t xml:space="preserve">Tribunals </w:t>
      </w:r>
      <w:r w:rsidR="008E2479">
        <w:rPr>
          <w:rFonts w:ascii="Century Gothic" w:hAnsi="Century Gothic"/>
          <w:sz w:val="24"/>
          <w:szCs w:val="24"/>
        </w:rPr>
        <w:lastRenderedPageBreak/>
        <w:t>should</w:t>
      </w:r>
      <w:r w:rsidR="004E3478">
        <w:rPr>
          <w:rFonts w:ascii="Century Gothic" w:hAnsi="Century Gothic"/>
          <w:sz w:val="24"/>
          <w:szCs w:val="24"/>
        </w:rPr>
        <w:t xml:space="preserve"> approach</w:t>
      </w:r>
      <w:r w:rsidR="0025777B">
        <w:rPr>
          <w:rFonts w:ascii="Century Gothic" w:hAnsi="Century Gothic"/>
          <w:sz w:val="24"/>
          <w:szCs w:val="24"/>
        </w:rPr>
        <w:t xml:space="preserve"> proportionality.  </w:t>
      </w:r>
      <w:r>
        <w:rPr>
          <w:rFonts w:ascii="Century Gothic" w:hAnsi="Century Gothic"/>
          <w:sz w:val="24"/>
          <w:szCs w:val="24"/>
        </w:rPr>
        <w:t>The d</w:t>
      </w:r>
      <w:r w:rsidR="0025777B">
        <w:rPr>
          <w:rFonts w:ascii="Century Gothic" w:hAnsi="Century Gothic"/>
          <w:sz w:val="24"/>
          <w:szCs w:val="24"/>
        </w:rPr>
        <w:t>ecision maker should be looking at the best interests</w:t>
      </w:r>
      <w:r w:rsidR="00423940">
        <w:rPr>
          <w:rFonts w:ascii="Century Gothic" w:hAnsi="Century Gothic"/>
          <w:sz w:val="24"/>
          <w:szCs w:val="24"/>
        </w:rPr>
        <w:t xml:space="preserve"> of children as a primary consideration, asking whether the force of any </w:t>
      </w:r>
      <w:r w:rsidR="002671F4">
        <w:rPr>
          <w:rFonts w:ascii="Century Gothic" w:hAnsi="Century Gothic"/>
          <w:sz w:val="24"/>
          <w:szCs w:val="24"/>
        </w:rPr>
        <w:t xml:space="preserve">other </w:t>
      </w:r>
      <w:r w:rsidR="00423940">
        <w:rPr>
          <w:rFonts w:ascii="Century Gothic" w:hAnsi="Century Gothic"/>
          <w:sz w:val="24"/>
          <w:szCs w:val="24"/>
        </w:rPr>
        <w:t>consideration</w:t>
      </w:r>
      <w:r w:rsidR="002671F4">
        <w:rPr>
          <w:rFonts w:ascii="Century Gothic" w:hAnsi="Century Gothic"/>
          <w:sz w:val="24"/>
          <w:szCs w:val="24"/>
        </w:rPr>
        <w:t>s should outweigh it.  They were clear that the best interests of the child is not the primary consideration and that they must take into account</w:t>
      </w:r>
      <w:r w:rsidR="00C739F9">
        <w:rPr>
          <w:rFonts w:ascii="Century Gothic" w:hAnsi="Century Gothic"/>
          <w:sz w:val="24"/>
          <w:szCs w:val="24"/>
        </w:rPr>
        <w:t xml:space="preserve"> any factors which point the other way i.e. is it reasonable to expect that child to live in another country.</w:t>
      </w:r>
    </w:p>
    <w:p w:rsidR="00404C99" w:rsidRDefault="00404C99" w:rsidP="00B2407D">
      <w:pPr>
        <w:pStyle w:val="BodyText"/>
        <w:spacing w:after="0" w:line="360" w:lineRule="auto"/>
        <w:rPr>
          <w:rFonts w:ascii="Century Gothic" w:hAnsi="Century Gothic"/>
          <w:sz w:val="24"/>
          <w:szCs w:val="24"/>
        </w:rPr>
      </w:pPr>
    </w:p>
    <w:p w:rsidR="004C7D0D" w:rsidRDefault="00404C99" w:rsidP="00B2407D">
      <w:pPr>
        <w:pStyle w:val="BodyText"/>
        <w:spacing w:after="0" w:line="360" w:lineRule="auto"/>
        <w:rPr>
          <w:rFonts w:ascii="Century Gothic" w:hAnsi="Century Gothic"/>
          <w:sz w:val="24"/>
          <w:szCs w:val="24"/>
        </w:rPr>
      </w:pPr>
      <w:r>
        <w:rPr>
          <w:rFonts w:ascii="Century Gothic" w:hAnsi="Century Gothic"/>
          <w:sz w:val="24"/>
          <w:szCs w:val="24"/>
        </w:rPr>
        <w:t>The o</w:t>
      </w:r>
      <w:r w:rsidR="004C7D0D">
        <w:rPr>
          <w:rFonts w:ascii="Century Gothic" w:hAnsi="Century Gothic"/>
          <w:sz w:val="24"/>
          <w:szCs w:val="24"/>
        </w:rPr>
        <w:t xml:space="preserve">nus </w:t>
      </w:r>
      <w:r>
        <w:rPr>
          <w:rFonts w:ascii="Century Gothic" w:hAnsi="Century Gothic"/>
          <w:sz w:val="24"/>
          <w:szCs w:val="24"/>
        </w:rPr>
        <w:t xml:space="preserve">is </w:t>
      </w:r>
      <w:r w:rsidR="004C7D0D">
        <w:rPr>
          <w:rFonts w:ascii="Century Gothic" w:hAnsi="Century Gothic"/>
          <w:sz w:val="24"/>
          <w:szCs w:val="24"/>
        </w:rPr>
        <w:t xml:space="preserve">on </w:t>
      </w:r>
      <w:r>
        <w:rPr>
          <w:rFonts w:ascii="Century Gothic" w:hAnsi="Century Gothic"/>
          <w:sz w:val="24"/>
          <w:szCs w:val="24"/>
        </w:rPr>
        <w:t xml:space="preserve">the </w:t>
      </w:r>
      <w:r w:rsidR="004C7D0D">
        <w:rPr>
          <w:rFonts w:ascii="Century Gothic" w:hAnsi="Century Gothic"/>
          <w:sz w:val="24"/>
          <w:szCs w:val="24"/>
        </w:rPr>
        <w:t>applicant</w:t>
      </w:r>
      <w:r>
        <w:rPr>
          <w:rFonts w:ascii="Century Gothic" w:hAnsi="Century Gothic"/>
          <w:sz w:val="24"/>
          <w:szCs w:val="24"/>
        </w:rPr>
        <w:t xml:space="preserve"> to show how the best interests</w:t>
      </w:r>
      <w:r w:rsidR="005C06BF">
        <w:rPr>
          <w:rFonts w:ascii="Century Gothic" w:hAnsi="Century Gothic"/>
          <w:sz w:val="24"/>
          <w:szCs w:val="24"/>
        </w:rPr>
        <w:t xml:space="preserve"> of a </w:t>
      </w:r>
      <w:proofErr w:type="gramStart"/>
      <w:r w:rsidR="005C06BF">
        <w:rPr>
          <w:rFonts w:ascii="Century Gothic" w:hAnsi="Century Gothic"/>
          <w:sz w:val="24"/>
          <w:szCs w:val="24"/>
        </w:rPr>
        <w:t xml:space="preserve">child </w:t>
      </w:r>
      <w:r>
        <w:rPr>
          <w:rFonts w:ascii="Century Gothic" w:hAnsi="Century Gothic"/>
          <w:sz w:val="24"/>
          <w:szCs w:val="24"/>
        </w:rPr>
        <w:t xml:space="preserve"> would</w:t>
      </w:r>
      <w:proofErr w:type="gramEnd"/>
      <w:r>
        <w:rPr>
          <w:rFonts w:ascii="Century Gothic" w:hAnsi="Century Gothic"/>
          <w:sz w:val="24"/>
          <w:szCs w:val="24"/>
        </w:rPr>
        <w:t xml:space="preserve"> be met by a grant of ILR, to</w:t>
      </w:r>
      <w:r w:rsidR="004C7D0D">
        <w:rPr>
          <w:rFonts w:ascii="Century Gothic" w:hAnsi="Century Gothic"/>
          <w:sz w:val="24"/>
          <w:szCs w:val="24"/>
        </w:rPr>
        <w:t xml:space="preserve"> </w:t>
      </w:r>
      <w:r w:rsidR="005C06BF">
        <w:rPr>
          <w:rFonts w:ascii="Century Gothic" w:hAnsi="Century Gothic"/>
          <w:sz w:val="24"/>
          <w:szCs w:val="24"/>
        </w:rPr>
        <w:t xml:space="preserve">the </w:t>
      </w:r>
      <w:r w:rsidR="004C7D0D">
        <w:rPr>
          <w:rFonts w:ascii="Century Gothic" w:hAnsi="Century Gothic"/>
          <w:sz w:val="24"/>
          <w:szCs w:val="24"/>
        </w:rPr>
        <w:t xml:space="preserve">civil standard </w:t>
      </w:r>
      <w:r w:rsidR="005C06BF">
        <w:rPr>
          <w:rFonts w:ascii="Century Gothic" w:hAnsi="Century Gothic"/>
          <w:sz w:val="24"/>
          <w:szCs w:val="24"/>
        </w:rPr>
        <w:t xml:space="preserve">of </w:t>
      </w:r>
      <w:r w:rsidR="004C7D0D">
        <w:rPr>
          <w:rFonts w:ascii="Century Gothic" w:hAnsi="Century Gothic"/>
          <w:sz w:val="24"/>
          <w:szCs w:val="24"/>
        </w:rPr>
        <w:t>balance of probabilities</w:t>
      </w:r>
      <w:r w:rsidR="008C69D5">
        <w:rPr>
          <w:rFonts w:ascii="Century Gothic" w:hAnsi="Century Gothic"/>
          <w:sz w:val="24"/>
          <w:szCs w:val="24"/>
        </w:rPr>
        <w:t>.</w:t>
      </w:r>
      <w:r w:rsidR="004C7D0D">
        <w:rPr>
          <w:rFonts w:ascii="Century Gothic" w:hAnsi="Century Gothic"/>
          <w:sz w:val="24"/>
          <w:szCs w:val="24"/>
        </w:rPr>
        <w:t xml:space="preserve"> </w:t>
      </w:r>
      <w:r w:rsidR="00006007">
        <w:rPr>
          <w:rStyle w:val="FootnoteReference"/>
          <w:rFonts w:ascii="Century Gothic" w:hAnsi="Century Gothic"/>
          <w:sz w:val="24"/>
          <w:szCs w:val="24"/>
        </w:rPr>
        <w:footnoteReference w:id="3"/>
      </w:r>
      <w:r w:rsidR="004C7D0D">
        <w:rPr>
          <w:rFonts w:ascii="Century Gothic" w:hAnsi="Century Gothic"/>
          <w:sz w:val="24"/>
          <w:szCs w:val="24"/>
        </w:rPr>
        <w:t xml:space="preserve"> </w:t>
      </w:r>
    </w:p>
    <w:p w:rsidR="00C739F9" w:rsidRDefault="00C739F9" w:rsidP="00B2407D">
      <w:pPr>
        <w:pStyle w:val="BodyText"/>
        <w:spacing w:after="0" w:line="360" w:lineRule="auto"/>
        <w:rPr>
          <w:rFonts w:ascii="Century Gothic" w:hAnsi="Century Gothic"/>
          <w:sz w:val="24"/>
          <w:szCs w:val="24"/>
        </w:rPr>
      </w:pPr>
    </w:p>
    <w:p w:rsidR="00C739F9" w:rsidRPr="00C739F9" w:rsidRDefault="00C739F9" w:rsidP="000F1C96">
      <w:pPr>
        <w:pStyle w:val="BodyText"/>
        <w:spacing w:after="0" w:line="360" w:lineRule="auto"/>
        <w:ind w:left="567"/>
        <w:rPr>
          <w:rFonts w:ascii="Century Gothic" w:hAnsi="Century Gothic"/>
          <w:i/>
          <w:sz w:val="24"/>
          <w:szCs w:val="24"/>
        </w:rPr>
      </w:pPr>
      <w:r w:rsidRPr="00C739F9">
        <w:rPr>
          <w:rFonts w:ascii="Century Gothic" w:hAnsi="Century Gothic"/>
          <w:i/>
          <w:sz w:val="24"/>
          <w:szCs w:val="24"/>
        </w:rPr>
        <w:t>Article 8</w:t>
      </w:r>
    </w:p>
    <w:p w:rsidR="00C739F9" w:rsidRDefault="00C739F9" w:rsidP="00B2407D">
      <w:pPr>
        <w:pStyle w:val="BodyText"/>
        <w:spacing w:after="0" w:line="360" w:lineRule="auto"/>
        <w:rPr>
          <w:rFonts w:ascii="Century Gothic" w:hAnsi="Century Gothic"/>
          <w:sz w:val="24"/>
          <w:szCs w:val="24"/>
        </w:rPr>
      </w:pPr>
    </w:p>
    <w:p w:rsidR="00F33E96" w:rsidRDefault="00F33E96" w:rsidP="00B2407D">
      <w:pPr>
        <w:pStyle w:val="BodyText"/>
        <w:spacing w:after="0" w:line="360" w:lineRule="auto"/>
        <w:rPr>
          <w:rFonts w:ascii="Century Gothic" w:hAnsi="Century Gothic"/>
          <w:sz w:val="24"/>
          <w:szCs w:val="24"/>
        </w:rPr>
      </w:pPr>
      <w:r>
        <w:rPr>
          <w:rFonts w:ascii="Century Gothic" w:hAnsi="Century Gothic"/>
          <w:sz w:val="24"/>
          <w:szCs w:val="24"/>
        </w:rPr>
        <w:t>Immigration Act</w:t>
      </w:r>
      <w:r w:rsidR="00D84EF8">
        <w:rPr>
          <w:rFonts w:ascii="Century Gothic" w:hAnsi="Century Gothic"/>
          <w:sz w:val="24"/>
          <w:szCs w:val="24"/>
        </w:rPr>
        <w:t xml:space="preserve"> 2014</w:t>
      </w:r>
    </w:p>
    <w:p w:rsidR="00500430" w:rsidRPr="007D71A7" w:rsidRDefault="00500430" w:rsidP="00500430">
      <w:pPr>
        <w:rPr>
          <w:rFonts w:ascii="Century Gothic" w:hAnsi="Century Gothic"/>
          <w:sz w:val="24"/>
          <w:szCs w:val="24"/>
        </w:rPr>
      </w:pPr>
      <w:r w:rsidRPr="007D71A7">
        <w:rPr>
          <w:rFonts w:ascii="Century Gothic" w:hAnsi="Century Gothic"/>
          <w:sz w:val="24"/>
          <w:szCs w:val="24"/>
        </w:rPr>
        <w:t xml:space="preserve">Section </w:t>
      </w:r>
      <w:proofErr w:type="gramStart"/>
      <w:r w:rsidRPr="007D71A7">
        <w:rPr>
          <w:rFonts w:ascii="Century Gothic" w:hAnsi="Century Gothic"/>
          <w:sz w:val="24"/>
          <w:szCs w:val="24"/>
        </w:rPr>
        <w:t>117B(</w:t>
      </w:r>
      <w:proofErr w:type="gramEnd"/>
      <w:r w:rsidRPr="007D71A7">
        <w:rPr>
          <w:rFonts w:ascii="Century Gothic" w:hAnsi="Century Gothic"/>
          <w:sz w:val="24"/>
          <w:szCs w:val="24"/>
        </w:rPr>
        <w:t xml:space="preserve">6) of the 2002 Act, as amended by the 2014 Immigration Act states: </w:t>
      </w:r>
      <w:r w:rsidRPr="007D71A7">
        <w:rPr>
          <w:rFonts w:ascii="Century Gothic" w:hAnsi="Century Gothic"/>
          <w:i/>
          <w:sz w:val="24"/>
          <w:szCs w:val="24"/>
        </w:rPr>
        <w:t>"In the case of a person who is not liable to deportation, the public interest does not require the person's removal where –</w:t>
      </w:r>
    </w:p>
    <w:p w:rsidR="00500430" w:rsidRDefault="00500430" w:rsidP="00500430">
      <w:pPr>
        <w:ind w:left="720"/>
        <w:rPr>
          <w:rFonts w:ascii="Century Gothic" w:hAnsi="Century Gothic"/>
          <w:i/>
          <w:sz w:val="24"/>
          <w:szCs w:val="24"/>
        </w:rPr>
      </w:pPr>
    </w:p>
    <w:p w:rsidR="00500430" w:rsidRDefault="00500430" w:rsidP="00500430">
      <w:pPr>
        <w:ind w:left="2160" w:hanging="720"/>
        <w:rPr>
          <w:rFonts w:ascii="Century Gothic" w:hAnsi="Century Gothic"/>
          <w:i/>
          <w:sz w:val="24"/>
          <w:szCs w:val="24"/>
        </w:rPr>
      </w:pPr>
      <w:r>
        <w:rPr>
          <w:rFonts w:ascii="Century Gothic" w:hAnsi="Century Gothic"/>
          <w:i/>
          <w:sz w:val="24"/>
          <w:szCs w:val="24"/>
        </w:rPr>
        <w:t>(a)</w:t>
      </w:r>
      <w:r>
        <w:rPr>
          <w:rFonts w:ascii="Century Gothic" w:hAnsi="Century Gothic"/>
          <w:i/>
          <w:sz w:val="24"/>
          <w:szCs w:val="24"/>
        </w:rPr>
        <w:tab/>
      </w:r>
      <w:proofErr w:type="gramStart"/>
      <w:r>
        <w:rPr>
          <w:rFonts w:ascii="Century Gothic" w:hAnsi="Century Gothic"/>
          <w:i/>
          <w:sz w:val="24"/>
          <w:szCs w:val="24"/>
        </w:rPr>
        <w:t>the</w:t>
      </w:r>
      <w:proofErr w:type="gramEnd"/>
      <w:r>
        <w:rPr>
          <w:rFonts w:ascii="Century Gothic" w:hAnsi="Century Gothic"/>
          <w:i/>
          <w:sz w:val="24"/>
          <w:szCs w:val="24"/>
        </w:rPr>
        <w:t xml:space="preserve"> person has a genuine and subsisting parental relationship with a qualifying child; and</w:t>
      </w:r>
    </w:p>
    <w:p w:rsidR="00500430" w:rsidRDefault="00500430" w:rsidP="00500430">
      <w:pPr>
        <w:ind w:left="720"/>
        <w:rPr>
          <w:rFonts w:ascii="Century Gothic" w:hAnsi="Century Gothic"/>
          <w:i/>
          <w:sz w:val="24"/>
          <w:szCs w:val="24"/>
        </w:rPr>
      </w:pPr>
    </w:p>
    <w:p w:rsidR="00500430" w:rsidRDefault="00500430" w:rsidP="00500430">
      <w:pPr>
        <w:ind w:left="2160" w:hanging="720"/>
        <w:rPr>
          <w:rFonts w:ascii="Century Gothic" w:hAnsi="Century Gothic"/>
          <w:i/>
          <w:sz w:val="24"/>
          <w:szCs w:val="24"/>
        </w:rPr>
      </w:pPr>
      <w:r>
        <w:rPr>
          <w:rFonts w:ascii="Century Gothic" w:hAnsi="Century Gothic"/>
          <w:i/>
          <w:sz w:val="24"/>
          <w:szCs w:val="24"/>
        </w:rPr>
        <w:t>(b)</w:t>
      </w:r>
      <w:r>
        <w:rPr>
          <w:rFonts w:ascii="Century Gothic" w:hAnsi="Century Gothic"/>
          <w:i/>
          <w:sz w:val="24"/>
          <w:szCs w:val="24"/>
        </w:rPr>
        <w:tab/>
      </w:r>
      <w:proofErr w:type="gramStart"/>
      <w:r>
        <w:rPr>
          <w:rFonts w:ascii="Century Gothic" w:hAnsi="Century Gothic"/>
          <w:i/>
          <w:sz w:val="24"/>
          <w:szCs w:val="24"/>
        </w:rPr>
        <w:t>it</w:t>
      </w:r>
      <w:proofErr w:type="gramEnd"/>
      <w:r>
        <w:rPr>
          <w:rFonts w:ascii="Century Gothic" w:hAnsi="Century Gothic"/>
          <w:i/>
          <w:sz w:val="24"/>
          <w:szCs w:val="24"/>
        </w:rPr>
        <w:t xml:space="preserve"> would not be reasonable to expect the child to leave the United Kingdom".</w:t>
      </w:r>
    </w:p>
    <w:p w:rsidR="00F33E96" w:rsidRDefault="00F33E96" w:rsidP="00B2407D">
      <w:pPr>
        <w:pStyle w:val="BodyText"/>
        <w:spacing w:after="0" w:line="360" w:lineRule="auto"/>
        <w:rPr>
          <w:rFonts w:ascii="Century Gothic" w:hAnsi="Century Gothic"/>
          <w:sz w:val="24"/>
          <w:szCs w:val="24"/>
        </w:rPr>
      </w:pPr>
    </w:p>
    <w:p w:rsidR="00D4385B" w:rsidRDefault="00D4385B" w:rsidP="00B2407D">
      <w:pPr>
        <w:pStyle w:val="BodyText"/>
        <w:spacing w:after="0" w:line="360" w:lineRule="auto"/>
        <w:rPr>
          <w:rFonts w:ascii="Century Gothic" w:hAnsi="Century Gothic"/>
          <w:sz w:val="24"/>
          <w:szCs w:val="24"/>
        </w:rPr>
      </w:pPr>
      <w:r>
        <w:rPr>
          <w:rFonts w:ascii="Century Gothic" w:hAnsi="Century Gothic"/>
          <w:sz w:val="24"/>
          <w:szCs w:val="24"/>
        </w:rPr>
        <w:t>Legal aid</w:t>
      </w:r>
    </w:p>
    <w:p w:rsidR="00D4385B" w:rsidRDefault="00D4385B" w:rsidP="00B2407D">
      <w:pPr>
        <w:pStyle w:val="BodyText"/>
        <w:spacing w:after="0" w:line="360" w:lineRule="auto"/>
        <w:rPr>
          <w:rFonts w:ascii="Century Gothic" w:hAnsi="Century Gothic"/>
          <w:sz w:val="24"/>
          <w:szCs w:val="24"/>
        </w:rPr>
      </w:pPr>
    </w:p>
    <w:p w:rsidR="00C739F9" w:rsidRDefault="00C739F9" w:rsidP="00B2407D">
      <w:pPr>
        <w:pStyle w:val="BodyText"/>
        <w:spacing w:after="0" w:line="360" w:lineRule="auto"/>
        <w:rPr>
          <w:rFonts w:ascii="Century Gothic" w:hAnsi="Century Gothic"/>
          <w:sz w:val="24"/>
          <w:szCs w:val="24"/>
        </w:rPr>
      </w:pPr>
      <w:r>
        <w:rPr>
          <w:rFonts w:ascii="Century Gothic" w:hAnsi="Century Gothic"/>
          <w:sz w:val="24"/>
          <w:szCs w:val="24"/>
        </w:rPr>
        <w:t xml:space="preserve">On 1 April 2013, </w:t>
      </w:r>
      <w:r w:rsidR="006E0438">
        <w:rPr>
          <w:rFonts w:ascii="Century Gothic" w:hAnsi="Century Gothic"/>
          <w:sz w:val="24"/>
          <w:szCs w:val="24"/>
        </w:rPr>
        <w:t xml:space="preserve">as a result of the Legal Aid Sentencing and Punishment of Offenders Act 2012, Legal Aid for immigration </w:t>
      </w:r>
      <w:r w:rsidR="008E2479">
        <w:rPr>
          <w:rFonts w:ascii="Century Gothic" w:hAnsi="Century Gothic"/>
          <w:sz w:val="24"/>
          <w:szCs w:val="24"/>
        </w:rPr>
        <w:t>non-asylum</w:t>
      </w:r>
      <w:r w:rsidR="006E0438">
        <w:rPr>
          <w:rFonts w:ascii="Century Gothic" w:hAnsi="Century Gothic"/>
          <w:sz w:val="24"/>
          <w:szCs w:val="24"/>
        </w:rPr>
        <w:t xml:space="preserve"> cases was cut from scope.</w:t>
      </w:r>
    </w:p>
    <w:p w:rsidR="008C69D5" w:rsidRDefault="008C69D5" w:rsidP="00B2407D">
      <w:pPr>
        <w:pStyle w:val="BodyText"/>
        <w:spacing w:after="0" w:line="360" w:lineRule="auto"/>
        <w:rPr>
          <w:rFonts w:ascii="Century Gothic" w:hAnsi="Century Gothic"/>
          <w:sz w:val="24"/>
          <w:szCs w:val="24"/>
        </w:rPr>
      </w:pPr>
    </w:p>
    <w:p w:rsidR="003E0930" w:rsidRDefault="003E0930" w:rsidP="00B2407D">
      <w:pPr>
        <w:pStyle w:val="BodyText"/>
        <w:spacing w:after="0" w:line="360" w:lineRule="auto"/>
        <w:rPr>
          <w:rFonts w:ascii="Century Gothic" w:hAnsi="Century Gothic"/>
          <w:sz w:val="24"/>
          <w:szCs w:val="24"/>
        </w:rPr>
      </w:pPr>
      <w:r>
        <w:rPr>
          <w:rFonts w:ascii="Century Gothic" w:hAnsi="Century Gothic"/>
          <w:sz w:val="24"/>
          <w:szCs w:val="24"/>
        </w:rPr>
        <w:lastRenderedPageBreak/>
        <w:t>The Law Centre clients in the study were eligible for legal aid as they had been signed up prior to</w:t>
      </w:r>
      <w:r w:rsidR="000032E5">
        <w:rPr>
          <w:rFonts w:ascii="Century Gothic" w:hAnsi="Century Gothic"/>
          <w:sz w:val="24"/>
          <w:szCs w:val="24"/>
        </w:rPr>
        <w:t xml:space="preserve"> April 2013. </w:t>
      </w:r>
    </w:p>
    <w:p w:rsidR="003E0930" w:rsidRDefault="003E0930" w:rsidP="00B2407D">
      <w:pPr>
        <w:pStyle w:val="BodyText"/>
        <w:spacing w:after="0" w:line="360" w:lineRule="auto"/>
        <w:rPr>
          <w:rFonts w:ascii="Century Gothic" w:hAnsi="Century Gothic"/>
          <w:sz w:val="24"/>
          <w:szCs w:val="24"/>
        </w:rPr>
      </w:pPr>
    </w:p>
    <w:p w:rsidR="00D4385B" w:rsidRDefault="00404C99" w:rsidP="00B2407D">
      <w:pPr>
        <w:pStyle w:val="BodyText"/>
        <w:spacing w:after="0" w:line="360" w:lineRule="auto"/>
        <w:rPr>
          <w:rFonts w:ascii="Century Gothic" w:hAnsi="Century Gothic"/>
          <w:sz w:val="24"/>
          <w:szCs w:val="24"/>
        </w:rPr>
      </w:pPr>
      <w:r>
        <w:rPr>
          <w:rFonts w:ascii="Century Gothic" w:hAnsi="Century Gothic"/>
          <w:sz w:val="24"/>
          <w:szCs w:val="24"/>
        </w:rPr>
        <w:t xml:space="preserve">The Law Centre has sought exceptional </w:t>
      </w:r>
      <w:r w:rsidR="00D4385B">
        <w:rPr>
          <w:rFonts w:ascii="Century Gothic" w:hAnsi="Century Gothic"/>
          <w:sz w:val="24"/>
          <w:szCs w:val="24"/>
        </w:rPr>
        <w:t>case funding</w:t>
      </w:r>
      <w:r w:rsidR="00D84EF8">
        <w:rPr>
          <w:rFonts w:ascii="Century Gothic" w:hAnsi="Century Gothic"/>
          <w:sz w:val="24"/>
          <w:szCs w:val="24"/>
        </w:rPr>
        <w:t xml:space="preserve"> </w:t>
      </w:r>
      <w:r>
        <w:rPr>
          <w:rFonts w:ascii="Century Gothic" w:hAnsi="Century Gothic"/>
          <w:sz w:val="24"/>
          <w:szCs w:val="24"/>
        </w:rPr>
        <w:t>in 2 cases</w:t>
      </w:r>
      <w:r w:rsidR="003E0930">
        <w:rPr>
          <w:rFonts w:ascii="Century Gothic" w:hAnsi="Century Gothic"/>
          <w:sz w:val="24"/>
          <w:szCs w:val="24"/>
        </w:rPr>
        <w:t xml:space="preserve"> in 2015</w:t>
      </w:r>
      <w:r>
        <w:rPr>
          <w:rFonts w:ascii="Century Gothic" w:hAnsi="Century Gothic"/>
          <w:sz w:val="24"/>
          <w:szCs w:val="24"/>
        </w:rPr>
        <w:t>, both concerning families</w:t>
      </w:r>
      <w:r w:rsidR="00100D9C">
        <w:rPr>
          <w:rFonts w:ascii="Century Gothic" w:hAnsi="Century Gothic"/>
          <w:sz w:val="24"/>
          <w:szCs w:val="24"/>
        </w:rPr>
        <w:t>. One was successful</w:t>
      </w:r>
      <w:r>
        <w:rPr>
          <w:rFonts w:ascii="Century Gothic" w:hAnsi="Century Gothic"/>
          <w:sz w:val="24"/>
          <w:szCs w:val="24"/>
        </w:rPr>
        <w:t xml:space="preserve">, the other was rejected twice, </w:t>
      </w:r>
      <w:r w:rsidR="005C06BF">
        <w:rPr>
          <w:rFonts w:ascii="Century Gothic" w:hAnsi="Century Gothic"/>
          <w:sz w:val="24"/>
          <w:szCs w:val="24"/>
        </w:rPr>
        <w:t xml:space="preserve">on the first occasion the reasons given included </w:t>
      </w:r>
      <w:r>
        <w:rPr>
          <w:rFonts w:ascii="Century Gothic" w:hAnsi="Century Gothic"/>
          <w:sz w:val="24"/>
          <w:szCs w:val="24"/>
        </w:rPr>
        <w:t>that she could represent herself adequately at appeal despite being a victim of domestic violence</w:t>
      </w:r>
      <w:r w:rsidR="002871E9">
        <w:rPr>
          <w:rFonts w:ascii="Century Gothic" w:hAnsi="Century Gothic"/>
          <w:sz w:val="24"/>
          <w:szCs w:val="24"/>
        </w:rPr>
        <w:t>. W</w:t>
      </w:r>
      <w:r w:rsidR="00100D9C">
        <w:rPr>
          <w:rFonts w:ascii="Century Gothic" w:hAnsi="Century Gothic"/>
          <w:sz w:val="24"/>
          <w:szCs w:val="24"/>
        </w:rPr>
        <w:t xml:space="preserve">e did not have time to </w:t>
      </w:r>
      <w:r w:rsidR="002871E9">
        <w:rPr>
          <w:rFonts w:ascii="Century Gothic" w:hAnsi="Century Gothic"/>
          <w:sz w:val="24"/>
          <w:szCs w:val="24"/>
        </w:rPr>
        <w:t xml:space="preserve">prepare and </w:t>
      </w:r>
      <w:r w:rsidR="00100D9C">
        <w:rPr>
          <w:rFonts w:ascii="Century Gothic" w:hAnsi="Century Gothic"/>
          <w:sz w:val="24"/>
          <w:szCs w:val="24"/>
        </w:rPr>
        <w:t xml:space="preserve">seek a review </w:t>
      </w:r>
      <w:r w:rsidR="002871E9">
        <w:rPr>
          <w:rFonts w:ascii="Century Gothic" w:hAnsi="Century Gothic"/>
          <w:sz w:val="24"/>
          <w:szCs w:val="24"/>
        </w:rPr>
        <w:t xml:space="preserve">of the decision </w:t>
      </w:r>
      <w:r w:rsidR="00100D9C">
        <w:rPr>
          <w:rFonts w:ascii="Century Gothic" w:hAnsi="Century Gothic"/>
          <w:sz w:val="24"/>
          <w:szCs w:val="24"/>
        </w:rPr>
        <w:t>due to an upcoming hearing date</w:t>
      </w:r>
      <w:r w:rsidR="002871E9">
        <w:rPr>
          <w:rFonts w:ascii="Century Gothic" w:hAnsi="Century Gothic"/>
          <w:sz w:val="24"/>
          <w:szCs w:val="24"/>
        </w:rPr>
        <w:t xml:space="preserve"> in the case, but later made a</w:t>
      </w:r>
      <w:r w:rsidR="00100D9C">
        <w:rPr>
          <w:rFonts w:ascii="Century Gothic" w:hAnsi="Century Gothic"/>
          <w:sz w:val="24"/>
          <w:szCs w:val="24"/>
        </w:rPr>
        <w:t xml:space="preserve"> further application </w:t>
      </w:r>
      <w:r w:rsidR="008C69D5">
        <w:rPr>
          <w:rFonts w:ascii="Century Gothic" w:hAnsi="Century Gothic"/>
          <w:sz w:val="24"/>
          <w:szCs w:val="24"/>
        </w:rPr>
        <w:t>for exceptional case funding</w:t>
      </w:r>
      <w:r w:rsidR="002871E9">
        <w:rPr>
          <w:rFonts w:ascii="Century Gothic" w:hAnsi="Century Gothic"/>
          <w:sz w:val="24"/>
          <w:szCs w:val="24"/>
        </w:rPr>
        <w:t xml:space="preserve"> </w:t>
      </w:r>
      <w:r w:rsidR="00100D9C">
        <w:rPr>
          <w:rFonts w:ascii="Century Gothic" w:hAnsi="Century Gothic"/>
          <w:sz w:val="24"/>
          <w:szCs w:val="24"/>
        </w:rPr>
        <w:t>as the FTT adjourned the hearing</w:t>
      </w:r>
      <w:r w:rsidR="002871E9">
        <w:rPr>
          <w:rFonts w:ascii="Century Gothic" w:hAnsi="Century Gothic"/>
          <w:sz w:val="24"/>
          <w:szCs w:val="24"/>
        </w:rPr>
        <w:t xml:space="preserve">. The application </w:t>
      </w:r>
      <w:r w:rsidR="00100D9C">
        <w:rPr>
          <w:rFonts w:ascii="Century Gothic" w:hAnsi="Century Gothic"/>
          <w:sz w:val="24"/>
          <w:szCs w:val="24"/>
        </w:rPr>
        <w:t>it was rejected again</w:t>
      </w:r>
      <w:r w:rsidR="008C69D5">
        <w:rPr>
          <w:rFonts w:ascii="Century Gothic" w:hAnsi="Century Gothic"/>
          <w:sz w:val="24"/>
          <w:szCs w:val="24"/>
        </w:rPr>
        <w:t>;</w:t>
      </w:r>
      <w:r w:rsidR="00100D9C">
        <w:rPr>
          <w:rFonts w:ascii="Century Gothic" w:hAnsi="Century Gothic"/>
          <w:sz w:val="24"/>
          <w:szCs w:val="24"/>
        </w:rPr>
        <w:t xml:space="preserve"> we had carried out pro bono preparation work in the meantime</w:t>
      </w:r>
      <w:r w:rsidR="004803B3">
        <w:rPr>
          <w:rFonts w:ascii="Century Gothic" w:hAnsi="Century Gothic"/>
          <w:sz w:val="24"/>
          <w:szCs w:val="24"/>
        </w:rPr>
        <w:t xml:space="preserve">, </w:t>
      </w:r>
      <w:r w:rsidR="008C69D5">
        <w:rPr>
          <w:rFonts w:ascii="Century Gothic" w:hAnsi="Century Gothic"/>
          <w:sz w:val="24"/>
          <w:szCs w:val="24"/>
        </w:rPr>
        <w:t xml:space="preserve">and </w:t>
      </w:r>
      <w:r w:rsidR="004803B3">
        <w:rPr>
          <w:rFonts w:ascii="Century Gothic" w:hAnsi="Century Gothic"/>
          <w:sz w:val="24"/>
          <w:szCs w:val="24"/>
        </w:rPr>
        <w:t>the decision maker concluded that the client could represent herself</w:t>
      </w:r>
      <w:r w:rsidR="008C69D5">
        <w:rPr>
          <w:rFonts w:ascii="Century Gothic" w:hAnsi="Century Gothic"/>
          <w:sz w:val="24"/>
          <w:szCs w:val="24"/>
        </w:rPr>
        <w:t xml:space="preserve"> as we had already carried out the work</w:t>
      </w:r>
      <w:r w:rsidR="00100D9C">
        <w:rPr>
          <w:rFonts w:ascii="Century Gothic" w:hAnsi="Century Gothic"/>
          <w:sz w:val="24"/>
          <w:szCs w:val="24"/>
        </w:rPr>
        <w:t>. A review has been sought.</w:t>
      </w:r>
    </w:p>
    <w:p w:rsidR="00D4385B" w:rsidRDefault="00D4385B" w:rsidP="00B2407D">
      <w:pPr>
        <w:pStyle w:val="BodyText"/>
        <w:spacing w:after="0" w:line="360" w:lineRule="auto"/>
        <w:rPr>
          <w:rFonts w:ascii="Century Gothic" w:hAnsi="Century Gothic"/>
          <w:sz w:val="24"/>
          <w:szCs w:val="24"/>
        </w:rPr>
      </w:pPr>
    </w:p>
    <w:p w:rsidR="001A002F" w:rsidRDefault="000F1C96" w:rsidP="000F1C96">
      <w:pPr>
        <w:pStyle w:val="BodyText"/>
        <w:spacing w:after="0" w:line="360" w:lineRule="auto"/>
        <w:ind w:left="720"/>
        <w:rPr>
          <w:rFonts w:ascii="Century Gothic" w:hAnsi="Century Gothic"/>
          <w:sz w:val="24"/>
          <w:szCs w:val="24"/>
        </w:rPr>
      </w:pPr>
      <w:r>
        <w:rPr>
          <w:rFonts w:ascii="Century Gothic" w:hAnsi="Century Gothic"/>
          <w:sz w:val="24"/>
          <w:szCs w:val="24"/>
        </w:rPr>
        <w:t xml:space="preserve">3 </w:t>
      </w:r>
      <w:proofErr w:type="gramStart"/>
      <w:r>
        <w:rPr>
          <w:rFonts w:ascii="Century Gothic" w:hAnsi="Century Gothic"/>
          <w:sz w:val="24"/>
          <w:szCs w:val="24"/>
        </w:rPr>
        <w:t>Research</w:t>
      </w:r>
      <w:proofErr w:type="gramEnd"/>
      <w:r>
        <w:rPr>
          <w:rFonts w:ascii="Century Gothic" w:hAnsi="Century Gothic"/>
          <w:sz w:val="24"/>
          <w:szCs w:val="24"/>
        </w:rPr>
        <w:t xml:space="preserve"> </w:t>
      </w:r>
    </w:p>
    <w:p w:rsidR="00CA75F0" w:rsidRDefault="00CA75F0" w:rsidP="00B2407D">
      <w:pPr>
        <w:pStyle w:val="BodyText"/>
        <w:spacing w:after="0" w:line="360" w:lineRule="auto"/>
        <w:rPr>
          <w:rFonts w:ascii="Century Gothic" w:hAnsi="Century Gothic"/>
          <w:sz w:val="24"/>
          <w:szCs w:val="24"/>
        </w:rPr>
      </w:pPr>
    </w:p>
    <w:p w:rsidR="001A002F" w:rsidRDefault="00B43585" w:rsidP="001A002F">
      <w:pPr>
        <w:pStyle w:val="BodyText"/>
        <w:spacing w:after="0" w:line="360" w:lineRule="auto"/>
        <w:rPr>
          <w:rFonts w:ascii="Century Gothic" w:hAnsi="Century Gothic"/>
          <w:sz w:val="24"/>
          <w:szCs w:val="24"/>
        </w:rPr>
      </w:pPr>
      <w:proofErr w:type="gramStart"/>
      <w:r>
        <w:rPr>
          <w:rFonts w:ascii="Century Gothic" w:hAnsi="Century Gothic"/>
          <w:sz w:val="24"/>
          <w:szCs w:val="24"/>
        </w:rPr>
        <w:t>Lambeth</w:t>
      </w:r>
      <w:proofErr w:type="gramEnd"/>
      <w:r>
        <w:rPr>
          <w:rFonts w:ascii="Century Gothic" w:hAnsi="Century Gothic"/>
          <w:sz w:val="24"/>
          <w:szCs w:val="24"/>
        </w:rPr>
        <w:t xml:space="preserve"> Law Centre identified</w:t>
      </w:r>
      <w:r w:rsidR="003A64BC">
        <w:rPr>
          <w:rFonts w:ascii="Century Gothic" w:hAnsi="Century Gothic"/>
          <w:sz w:val="24"/>
          <w:szCs w:val="24"/>
        </w:rPr>
        <w:t xml:space="preserve"> and prepared </w:t>
      </w:r>
      <w:r w:rsidR="00D84EF8">
        <w:rPr>
          <w:rFonts w:ascii="Century Gothic" w:hAnsi="Century Gothic"/>
          <w:sz w:val="24"/>
          <w:szCs w:val="24"/>
        </w:rPr>
        <w:t xml:space="preserve">the </w:t>
      </w:r>
      <w:r w:rsidR="003A64BC">
        <w:rPr>
          <w:rFonts w:ascii="Century Gothic" w:hAnsi="Century Gothic"/>
          <w:sz w:val="24"/>
          <w:szCs w:val="24"/>
        </w:rPr>
        <w:t xml:space="preserve">case studies of 19 clients from </w:t>
      </w:r>
      <w:r w:rsidR="008564F4">
        <w:rPr>
          <w:rFonts w:ascii="Century Gothic" w:hAnsi="Century Gothic"/>
          <w:sz w:val="24"/>
          <w:szCs w:val="24"/>
        </w:rPr>
        <w:t>the Law Centre’s</w:t>
      </w:r>
      <w:r w:rsidR="003A64BC">
        <w:rPr>
          <w:rFonts w:ascii="Century Gothic" w:hAnsi="Century Gothic"/>
          <w:sz w:val="24"/>
          <w:szCs w:val="24"/>
        </w:rPr>
        <w:t xml:space="preserve"> caseload.  </w:t>
      </w:r>
      <w:r w:rsidR="001A002F">
        <w:rPr>
          <w:rFonts w:ascii="Century Gothic" w:hAnsi="Century Gothic"/>
          <w:sz w:val="24"/>
          <w:szCs w:val="24"/>
        </w:rPr>
        <w:t>Case studies were also obtained from two other agencies, Newcastle Law Centre and Coram Children</w:t>
      </w:r>
      <w:r w:rsidR="00500430">
        <w:rPr>
          <w:rFonts w:ascii="Century Gothic" w:hAnsi="Century Gothic"/>
          <w:sz w:val="24"/>
          <w:szCs w:val="24"/>
        </w:rPr>
        <w:t>’</w:t>
      </w:r>
      <w:r w:rsidR="001A002F">
        <w:rPr>
          <w:rFonts w:ascii="Century Gothic" w:hAnsi="Century Gothic"/>
          <w:sz w:val="24"/>
          <w:szCs w:val="24"/>
        </w:rPr>
        <w:t>s Legal Centre</w:t>
      </w:r>
      <w:r w:rsidR="00D84EF8">
        <w:rPr>
          <w:rFonts w:ascii="Century Gothic" w:hAnsi="Century Gothic"/>
          <w:sz w:val="24"/>
          <w:szCs w:val="24"/>
        </w:rPr>
        <w:t>, so we looked at 25 in total</w:t>
      </w:r>
      <w:r w:rsidR="001A002F">
        <w:rPr>
          <w:rFonts w:ascii="Century Gothic" w:hAnsi="Century Gothic"/>
          <w:sz w:val="24"/>
          <w:szCs w:val="24"/>
        </w:rPr>
        <w:t xml:space="preserve">.  (We unfortunately received few responses to our requests for case studies from other organisations, partly due to </w:t>
      </w:r>
      <w:r w:rsidR="00D84EF8">
        <w:rPr>
          <w:rFonts w:ascii="Century Gothic" w:hAnsi="Century Gothic"/>
          <w:sz w:val="24"/>
          <w:szCs w:val="24"/>
        </w:rPr>
        <w:t xml:space="preserve">lack of </w:t>
      </w:r>
      <w:r w:rsidR="001A002F">
        <w:rPr>
          <w:rFonts w:ascii="Century Gothic" w:hAnsi="Century Gothic"/>
          <w:sz w:val="24"/>
          <w:szCs w:val="24"/>
        </w:rPr>
        <w:t>capacity</w:t>
      </w:r>
      <w:r w:rsidR="00D84EF8">
        <w:rPr>
          <w:rFonts w:ascii="Century Gothic" w:hAnsi="Century Gothic"/>
          <w:sz w:val="24"/>
          <w:szCs w:val="24"/>
        </w:rPr>
        <w:t>, and also</w:t>
      </w:r>
      <w:r w:rsidR="001A002F">
        <w:rPr>
          <w:rFonts w:ascii="Century Gothic" w:hAnsi="Century Gothic"/>
          <w:sz w:val="24"/>
          <w:szCs w:val="24"/>
        </w:rPr>
        <w:t xml:space="preserve"> to the fact that </w:t>
      </w:r>
      <w:r w:rsidR="00500430">
        <w:rPr>
          <w:rFonts w:ascii="Century Gothic" w:hAnsi="Century Gothic"/>
          <w:sz w:val="24"/>
          <w:szCs w:val="24"/>
        </w:rPr>
        <w:t xml:space="preserve">these </w:t>
      </w:r>
      <w:r w:rsidR="001A002F">
        <w:rPr>
          <w:rFonts w:ascii="Century Gothic" w:hAnsi="Century Gothic"/>
          <w:sz w:val="24"/>
          <w:szCs w:val="24"/>
        </w:rPr>
        <w:t>organisations were no longer carrying out Legal Aid work, or any immigration work at all.</w:t>
      </w:r>
      <w:r w:rsidR="00D84EF8">
        <w:rPr>
          <w:rFonts w:ascii="Century Gothic" w:hAnsi="Century Gothic"/>
          <w:sz w:val="24"/>
          <w:szCs w:val="24"/>
        </w:rPr>
        <w:t>)</w:t>
      </w:r>
      <w:r w:rsidR="001A002F">
        <w:rPr>
          <w:rFonts w:ascii="Century Gothic" w:hAnsi="Century Gothic"/>
          <w:sz w:val="24"/>
          <w:szCs w:val="24"/>
        </w:rPr>
        <w:t xml:space="preserve">  The bulk of the case studies are therefore from the Law Centre case load. However we believe</w:t>
      </w:r>
      <w:r w:rsidR="00D3624E">
        <w:rPr>
          <w:rFonts w:ascii="Century Gothic" w:hAnsi="Century Gothic"/>
          <w:sz w:val="24"/>
          <w:szCs w:val="24"/>
        </w:rPr>
        <w:t xml:space="preserve">, from anecdotal evidence provided by the Children’s </w:t>
      </w:r>
      <w:proofErr w:type="gramStart"/>
      <w:r w:rsidR="00D3624E">
        <w:rPr>
          <w:rFonts w:ascii="Century Gothic" w:hAnsi="Century Gothic"/>
          <w:sz w:val="24"/>
          <w:szCs w:val="24"/>
        </w:rPr>
        <w:t>Society, that</w:t>
      </w:r>
      <w:proofErr w:type="gramEnd"/>
      <w:r w:rsidR="001A002F">
        <w:rPr>
          <w:rFonts w:ascii="Century Gothic" w:hAnsi="Century Gothic"/>
          <w:sz w:val="24"/>
          <w:szCs w:val="24"/>
        </w:rPr>
        <w:t xml:space="preserve"> </w:t>
      </w:r>
      <w:r w:rsidR="00D84EF8">
        <w:rPr>
          <w:rFonts w:ascii="Century Gothic" w:hAnsi="Century Gothic"/>
          <w:sz w:val="24"/>
          <w:szCs w:val="24"/>
        </w:rPr>
        <w:t>they are representative</w:t>
      </w:r>
      <w:r w:rsidR="000032E5">
        <w:rPr>
          <w:rFonts w:ascii="Century Gothic" w:hAnsi="Century Gothic"/>
          <w:sz w:val="24"/>
          <w:szCs w:val="24"/>
        </w:rPr>
        <w:t xml:space="preserve"> of </w:t>
      </w:r>
      <w:r w:rsidR="00D3624E">
        <w:rPr>
          <w:rFonts w:ascii="Century Gothic" w:hAnsi="Century Gothic"/>
          <w:sz w:val="24"/>
          <w:szCs w:val="24"/>
        </w:rPr>
        <w:t xml:space="preserve">many </w:t>
      </w:r>
      <w:r w:rsidR="000032E5">
        <w:rPr>
          <w:rFonts w:ascii="Century Gothic" w:hAnsi="Century Gothic"/>
          <w:sz w:val="24"/>
          <w:szCs w:val="24"/>
        </w:rPr>
        <w:t>clients</w:t>
      </w:r>
      <w:r w:rsidR="00100D9C">
        <w:rPr>
          <w:rFonts w:ascii="Century Gothic" w:hAnsi="Century Gothic"/>
          <w:sz w:val="24"/>
          <w:szCs w:val="24"/>
        </w:rPr>
        <w:t xml:space="preserve"> in other parts of the country</w:t>
      </w:r>
      <w:r w:rsidR="001A002F">
        <w:rPr>
          <w:rFonts w:ascii="Century Gothic" w:hAnsi="Century Gothic"/>
          <w:sz w:val="24"/>
          <w:szCs w:val="24"/>
        </w:rPr>
        <w:t>.</w:t>
      </w:r>
    </w:p>
    <w:p w:rsidR="00CA75F0" w:rsidRDefault="00CA75F0" w:rsidP="00B2407D">
      <w:pPr>
        <w:pStyle w:val="BodyText"/>
        <w:spacing w:after="0" w:line="360" w:lineRule="auto"/>
        <w:rPr>
          <w:rFonts w:ascii="Century Gothic" w:hAnsi="Century Gothic"/>
          <w:sz w:val="24"/>
          <w:szCs w:val="24"/>
        </w:rPr>
      </w:pPr>
    </w:p>
    <w:p w:rsidR="001A002F" w:rsidRDefault="001A002F" w:rsidP="00B2407D">
      <w:pPr>
        <w:pStyle w:val="BodyText"/>
        <w:spacing w:after="0" w:line="360" w:lineRule="auto"/>
        <w:rPr>
          <w:rFonts w:ascii="Century Gothic" w:hAnsi="Century Gothic"/>
          <w:sz w:val="24"/>
          <w:szCs w:val="24"/>
        </w:rPr>
      </w:pPr>
      <w:r>
        <w:rPr>
          <w:rFonts w:ascii="Century Gothic" w:hAnsi="Century Gothic"/>
          <w:sz w:val="24"/>
          <w:szCs w:val="24"/>
        </w:rPr>
        <w:t xml:space="preserve">The </w:t>
      </w:r>
      <w:r w:rsidR="00D84EF8">
        <w:rPr>
          <w:rFonts w:ascii="Century Gothic" w:hAnsi="Century Gothic"/>
          <w:sz w:val="24"/>
          <w:szCs w:val="24"/>
        </w:rPr>
        <w:t>study</w:t>
      </w:r>
      <w:r>
        <w:rPr>
          <w:rFonts w:ascii="Century Gothic" w:hAnsi="Century Gothic"/>
          <w:sz w:val="24"/>
          <w:szCs w:val="24"/>
        </w:rPr>
        <w:t xml:space="preserve"> recorded</w:t>
      </w:r>
      <w:r w:rsidR="00CA75F0">
        <w:rPr>
          <w:rFonts w:ascii="Century Gothic" w:hAnsi="Century Gothic"/>
          <w:sz w:val="24"/>
          <w:szCs w:val="24"/>
        </w:rPr>
        <w:t xml:space="preserve"> the following </w:t>
      </w:r>
      <w:r>
        <w:rPr>
          <w:rFonts w:ascii="Century Gothic" w:hAnsi="Century Gothic"/>
          <w:sz w:val="24"/>
          <w:szCs w:val="24"/>
        </w:rPr>
        <w:t>information:</w:t>
      </w:r>
    </w:p>
    <w:p w:rsidR="001A002F" w:rsidRDefault="001A002F" w:rsidP="00B2407D">
      <w:pPr>
        <w:pStyle w:val="BodyText"/>
        <w:spacing w:after="0" w:line="360" w:lineRule="auto"/>
        <w:rPr>
          <w:rFonts w:ascii="Century Gothic" w:hAnsi="Century Gothic"/>
          <w:sz w:val="24"/>
          <w:szCs w:val="24"/>
        </w:rPr>
      </w:pPr>
    </w:p>
    <w:p w:rsidR="001A002F" w:rsidRDefault="001A002F" w:rsidP="001A002F">
      <w:pPr>
        <w:pStyle w:val="BodyText"/>
        <w:numPr>
          <w:ilvl w:val="0"/>
          <w:numId w:val="33"/>
        </w:numPr>
        <w:spacing w:after="0" w:line="360" w:lineRule="auto"/>
        <w:rPr>
          <w:rFonts w:ascii="Century Gothic" w:hAnsi="Century Gothic"/>
          <w:sz w:val="24"/>
          <w:szCs w:val="24"/>
        </w:rPr>
      </w:pPr>
      <w:r>
        <w:rPr>
          <w:rFonts w:ascii="Century Gothic" w:hAnsi="Century Gothic"/>
          <w:sz w:val="24"/>
          <w:szCs w:val="24"/>
        </w:rPr>
        <w:lastRenderedPageBreak/>
        <w:t>T</w:t>
      </w:r>
      <w:r w:rsidR="003A64BC">
        <w:rPr>
          <w:rFonts w:ascii="Century Gothic" w:hAnsi="Century Gothic"/>
          <w:sz w:val="24"/>
          <w:szCs w:val="24"/>
        </w:rPr>
        <w:t>he type of immigration application made</w:t>
      </w:r>
    </w:p>
    <w:p w:rsidR="001A002F" w:rsidRDefault="001A002F" w:rsidP="001A002F">
      <w:pPr>
        <w:pStyle w:val="BodyText"/>
        <w:numPr>
          <w:ilvl w:val="0"/>
          <w:numId w:val="33"/>
        </w:numPr>
        <w:spacing w:after="0" w:line="360" w:lineRule="auto"/>
        <w:rPr>
          <w:rFonts w:ascii="Century Gothic" w:hAnsi="Century Gothic"/>
          <w:sz w:val="24"/>
          <w:szCs w:val="24"/>
        </w:rPr>
      </w:pPr>
      <w:r>
        <w:rPr>
          <w:rFonts w:ascii="Century Gothic" w:hAnsi="Century Gothic"/>
          <w:sz w:val="24"/>
          <w:szCs w:val="24"/>
        </w:rPr>
        <w:t>T</w:t>
      </w:r>
      <w:r w:rsidR="003A64BC">
        <w:rPr>
          <w:rFonts w:ascii="Century Gothic" w:hAnsi="Century Gothic"/>
          <w:sz w:val="24"/>
          <w:szCs w:val="24"/>
        </w:rPr>
        <w:t>he decision</w:t>
      </w:r>
      <w:r w:rsidR="008564F4">
        <w:rPr>
          <w:rFonts w:ascii="Century Gothic" w:hAnsi="Century Gothic"/>
          <w:sz w:val="24"/>
          <w:szCs w:val="24"/>
        </w:rPr>
        <w:t xml:space="preserve"> of the Home Office</w:t>
      </w:r>
    </w:p>
    <w:p w:rsidR="001A002F" w:rsidRDefault="001A002F" w:rsidP="001A002F">
      <w:pPr>
        <w:pStyle w:val="BodyText"/>
        <w:numPr>
          <w:ilvl w:val="0"/>
          <w:numId w:val="33"/>
        </w:numPr>
        <w:spacing w:after="0" w:line="360" w:lineRule="auto"/>
        <w:rPr>
          <w:rFonts w:ascii="Century Gothic" w:hAnsi="Century Gothic"/>
          <w:sz w:val="24"/>
          <w:szCs w:val="24"/>
        </w:rPr>
      </w:pPr>
      <w:r>
        <w:rPr>
          <w:rFonts w:ascii="Century Gothic" w:hAnsi="Century Gothic"/>
          <w:sz w:val="24"/>
          <w:szCs w:val="24"/>
        </w:rPr>
        <w:t>W</w:t>
      </w:r>
      <w:r w:rsidR="003A64BC">
        <w:rPr>
          <w:rFonts w:ascii="Century Gothic" w:hAnsi="Century Gothic"/>
          <w:sz w:val="24"/>
          <w:szCs w:val="24"/>
        </w:rPr>
        <w:t>hether access to public funds was granted</w:t>
      </w:r>
      <w:r w:rsidR="00500430">
        <w:rPr>
          <w:rFonts w:ascii="Century Gothic" w:hAnsi="Century Gothic"/>
          <w:sz w:val="24"/>
          <w:szCs w:val="24"/>
        </w:rPr>
        <w:t xml:space="preserve"> on initial application</w:t>
      </w:r>
      <w:r w:rsidR="00D84EF8">
        <w:rPr>
          <w:rFonts w:ascii="Century Gothic" w:hAnsi="Century Gothic"/>
          <w:sz w:val="24"/>
          <w:szCs w:val="24"/>
        </w:rPr>
        <w:t xml:space="preserve"> (if made under the Rules) and</w:t>
      </w:r>
    </w:p>
    <w:p w:rsidR="00CD75ED" w:rsidRDefault="002871E9" w:rsidP="001A002F">
      <w:pPr>
        <w:pStyle w:val="BodyText"/>
        <w:numPr>
          <w:ilvl w:val="0"/>
          <w:numId w:val="33"/>
        </w:numPr>
        <w:spacing w:after="0" w:line="360" w:lineRule="auto"/>
        <w:rPr>
          <w:rFonts w:ascii="Century Gothic" w:hAnsi="Century Gothic"/>
          <w:sz w:val="24"/>
          <w:szCs w:val="24"/>
        </w:rPr>
      </w:pPr>
      <w:r>
        <w:rPr>
          <w:rFonts w:ascii="Century Gothic" w:hAnsi="Century Gothic"/>
          <w:sz w:val="24"/>
          <w:szCs w:val="24"/>
        </w:rPr>
        <w:t>Where the information was available, the i</w:t>
      </w:r>
      <w:r w:rsidR="003A64BC">
        <w:rPr>
          <w:rFonts w:ascii="Century Gothic" w:hAnsi="Century Gothic"/>
          <w:sz w:val="24"/>
          <w:szCs w:val="24"/>
        </w:rPr>
        <w:t>mpact</w:t>
      </w:r>
      <w:r w:rsidR="008564F4">
        <w:rPr>
          <w:rFonts w:ascii="Century Gothic" w:hAnsi="Century Gothic"/>
          <w:sz w:val="24"/>
          <w:szCs w:val="24"/>
        </w:rPr>
        <w:t>,</w:t>
      </w:r>
      <w:r w:rsidR="003A64BC">
        <w:rPr>
          <w:rFonts w:ascii="Century Gothic" w:hAnsi="Century Gothic"/>
          <w:sz w:val="24"/>
          <w:szCs w:val="24"/>
        </w:rPr>
        <w:t xml:space="preserve"> on </w:t>
      </w:r>
      <w:r w:rsidR="001A002F">
        <w:rPr>
          <w:rFonts w:ascii="Century Gothic" w:hAnsi="Century Gothic"/>
          <w:sz w:val="24"/>
          <w:szCs w:val="24"/>
        </w:rPr>
        <w:t xml:space="preserve">wellbeing and </w:t>
      </w:r>
      <w:r w:rsidR="003A64BC">
        <w:rPr>
          <w:rFonts w:ascii="Century Gothic" w:hAnsi="Century Gothic"/>
          <w:sz w:val="24"/>
          <w:szCs w:val="24"/>
        </w:rPr>
        <w:t xml:space="preserve">practicalities, e.g. gaining employment, children attending further or </w:t>
      </w:r>
      <w:r w:rsidR="001A002F">
        <w:rPr>
          <w:rFonts w:ascii="Century Gothic" w:hAnsi="Century Gothic"/>
          <w:sz w:val="24"/>
          <w:szCs w:val="24"/>
        </w:rPr>
        <w:t>higher education</w:t>
      </w:r>
      <w:r w:rsidR="003E0930">
        <w:rPr>
          <w:rStyle w:val="FootnoteReference"/>
          <w:rFonts w:ascii="Century Gothic" w:hAnsi="Century Gothic"/>
          <w:sz w:val="24"/>
          <w:szCs w:val="24"/>
        </w:rPr>
        <w:footnoteReference w:id="4"/>
      </w:r>
      <w:r w:rsidR="004803B3">
        <w:rPr>
          <w:rFonts w:ascii="Century Gothic" w:hAnsi="Century Gothic"/>
          <w:sz w:val="24"/>
          <w:szCs w:val="24"/>
        </w:rPr>
        <w:t xml:space="preserve"> </w:t>
      </w:r>
      <w:r w:rsidR="00D84EF8">
        <w:rPr>
          <w:rFonts w:ascii="Century Gothic" w:hAnsi="Century Gothic"/>
          <w:sz w:val="24"/>
          <w:szCs w:val="24"/>
        </w:rPr>
        <w:t xml:space="preserve">, </w:t>
      </w:r>
      <w:r w:rsidR="003C4725">
        <w:rPr>
          <w:rFonts w:ascii="Century Gothic" w:hAnsi="Century Gothic"/>
          <w:sz w:val="24"/>
          <w:szCs w:val="24"/>
        </w:rPr>
        <w:t xml:space="preserve">any </w:t>
      </w:r>
      <w:r w:rsidR="00D84EF8">
        <w:rPr>
          <w:rFonts w:ascii="Century Gothic" w:hAnsi="Century Gothic"/>
          <w:sz w:val="24"/>
          <w:szCs w:val="24"/>
        </w:rPr>
        <w:t>health issues</w:t>
      </w:r>
      <w:r w:rsidR="003A64BC">
        <w:rPr>
          <w:rFonts w:ascii="Century Gothic" w:hAnsi="Century Gothic"/>
          <w:sz w:val="24"/>
          <w:szCs w:val="24"/>
        </w:rPr>
        <w:t xml:space="preserve">.  </w:t>
      </w:r>
    </w:p>
    <w:p w:rsidR="001A002F" w:rsidRDefault="001A002F" w:rsidP="00B2407D">
      <w:pPr>
        <w:pStyle w:val="BodyText"/>
        <w:spacing w:after="0" w:line="360" w:lineRule="auto"/>
        <w:rPr>
          <w:rFonts w:ascii="Century Gothic" w:hAnsi="Century Gothic"/>
          <w:sz w:val="24"/>
          <w:szCs w:val="24"/>
        </w:rPr>
      </w:pPr>
    </w:p>
    <w:p w:rsidR="00A02A7E" w:rsidRDefault="00CD75ED" w:rsidP="00B2407D">
      <w:pPr>
        <w:pStyle w:val="BodyText"/>
        <w:spacing w:after="0" w:line="360" w:lineRule="auto"/>
        <w:rPr>
          <w:rFonts w:ascii="Century Gothic" w:hAnsi="Century Gothic"/>
          <w:sz w:val="24"/>
          <w:szCs w:val="24"/>
        </w:rPr>
      </w:pPr>
      <w:r>
        <w:rPr>
          <w:rFonts w:ascii="Century Gothic" w:hAnsi="Century Gothic"/>
          <w:sz w:val="24"/>
          <w:szCs w:val="24"/>
        </w:rPr>
        <w:t>Six of the case study clients had applied</w:t>
      </w:r>
      <w:r w:rsidR="005A62F2">
        <w:rPr>
          <w:rFonts w:ascii="Century Gothic" w:hAnsi="Century Gothic"/>
          <w:sz w:val="24"/>
          <w:szCs w:val="24"/>
        </w:rPr>
        <w:t xml:space="preserve"> for a derivative residence card as the primary </w:t>
      </w:r>
      <w:proofErr w:type="spellStart"/>
      <w:r w:rsidR="005A62F2">
        <w:rPr>
          <w:rFonts w:ascii="Century Gothic" w:hAnsi="Century Gothic"/>
          <w:sz w:val="24"/>
          <w:szCs w:val="24"/>
        </w:rPr>
        <w:t>carer</w:t>
      </w:r>
      <w:proofErr w:type="spellEnd"/>
      <w:r w:rsidR="005A62F2">
        <w:rPr>
          <w:rFonts w:ascii="Century Gothic" w:hAnsi="Century Gothic"/>
          <w:sz w:val="24"/>
          <w:szCs w:val="24"/>
        </w:rPr>
        <w:t xml:space="preserve"> of a British citizen child, or parent of a child in education.  The remainder of the </w:t>
      </w:r>
      <w:r w:rsidR="009531A7">
        <w:rPr>
          <w:rFonts w:ascii="Century Gothic" w:hAnsi="Century Gothic"/>
          <w:sz w:val="24"/>
          <w:szCs w:val="24"/>
        </w:rPr>
        <w:t xml:space="preserve">clients in the </w:t>
      </w:r>
      <w:r w:rsidR="005A62F2">
        <w:rPr>
          <w:rFonts w:ascii="Century Gothic" w:hAnsi="Century Gothic"/>
          <w:sz w:val="24"/>
          <w:szCs w:val="24"/>
        </w:rPr>
        <w:t>case studies had all sought leave to remain</w:t>
      </w:r>
      <w:r w:rsidR="00500430">
        <w:rPr>
          <w:rFonts w:ascii="Century Gothic" w:hAnsi="Century Gothic"/>
          <w:sz w:val="24"/>
          <w:szCs w:val="24"/>
        </w:rPr>
        <w:t xml:space="preserve"> under the immigration rules</w:t>
      </w:r>
      <w:r w:rsidR="005A62F2">
        <w:rPr>
          <w:rFonts w:ascii="Century Gothic" w:hAnsi="Century Gothic"/>
          <w:sz w:val="24"/>
          <w:szCs w:val="24"/>
        </w:rPr>
        <w:t xml:space="preserve">.  </w:t>
      </w:r>
    </w:p>
    <w:p w:rsidR="00D84EF8" w:rsidRDefault="00D84EF8" w:rsidP="00181F0E">
      <w:pPr>
        <w:pStyle w:val="BodyText"/>
        <w:spacing w:after="0" w:line="360" w:lineRule="auto"/>
        <w:rPr>
          <w:rFonts w:ascii="Century Gothic" w:hAnsi="Century Gothic"/>
          <w:sz w:val="24"/>
          <w:szCs w:val="24"/>
        </w:rPr>
      </w:pPr>
    </w:p>
    <w:p w:rsidR="00181F0E" w:rsidRDefault="000032E5" w:rsidP="00181F0E">
      <w:pPr>
        <w:pStyle w:val="BodyText"/>
        <w:spacing w:after="0" w:line="360" w:lineRule="auto"/>
        <w:rPr>
          <w:rFonts w:ascii="Century Gothic" w:hAnsi="Century Gothic"/>
          <w:sz w:val="24"/>
          <w:szCs w:val="24"/>
        </w:rPr>
      </w:pPr>
      <w:r>
        <w:rPr>
          <w:rFonts w:ascii="Century Gothic" w:hAnsi="Century Gothic"/>
          <w:sz w:val="24"/>
          <w:szCs w:val="24"/>
        </w:rPr>
        <w:t>We noted that m</w:t>
      </w:r>
      <w:r w:rsidR="00181F0E">
        <w:rPr>
          <w:rFonts w:ascii="Century Gothic" w:hAnsi="Century Gothic"/>
          <w:sz w:val="24"/>
          <w:szCs w:val="24"/>
        </w:rPr>
        <w:t xml:space="preserve">ost clients had </w:t>
      </w:r>
      <w:r w:rsidR="003C4725">
        <w:rPr>
          <w:rFonts w:ascii="Century Gothic" w:hAnsi="Century Gothic"/>
          <w:sz w:val="24"/>
          <w:szCs w:val="24"/>
        </w:rPr>
        <w:t>lived in the UK for many years</w:t>
      </w:r>
      <w:r w:rsidR="00181F0E">
        <w:rPr>
          <w:rFonts w:ascii="Century Gothic" w:hAnsi="Century Gothic"/>
          <w:sz w:val="24"/>
          <w:szCs w:val="24"/>
        </w:rPr>
        <w:t xml:space="preserve"> before they were granted leave to remain or a derivative residence card was issued</w:t>
      </w:r>
      <w:r>
        <w:rPr>
          <w:rFonts w:ascii="Century Gothic" w:hAnsi="Century Gothic"/>
          <w:sz w:val="24"/>
          <w:szCs w:val="24"/>
        </w:rPr>
        <w:t xml:space="preserve">, </w:t>
      </w:r>
      <w:r w:rsidR="002871E9">
        <w:rPr>
          <w:rFonts w:ascii="Century Gothic" w:hAnsi="Century Gothic"/>
          <w:sz w:val="24"/>
          <w:szCs w:val="24"/>
        </w:rPr>
        <w:t xml:space="preserve">(eleven of the clients had resided in the UK for 10 years or more), and </w:t>
      </w:r>
      <w:r>
        <w:rPr>
          <w:rFonts w:ascii="Century Gothic" w:hAnsi="Century Gothic"/>
          <w:sz w:val="24"/>
          <w:szCs w:val="24"/>
        </w:rPr>
        <w:t>that m</w:t>
      </w:r>
      <w:r w:rsidR="00181F0E">
        <w:rPr>
          <w:rFonts w:ascii="Century Gothic" w:hAnsi="Century Gothic"/>
          <w:sz w:val="24"/>
          <w:szCs w:val="24"/>
        </w:rPr>
        <w:t xml:space="preserve">any had had some form of leave to remain or a residence card during the period of their residence.  The clients receiving support from Social Services had been doing so for varying periods </w:t>
      </w:r>
      <w:r w:rsidR="00D84EF8">
        <w:rPr>
          <w:rFonts w:ascii="Century Gothic" w:hAnsi="Century Gothic"/>
          <w:sz w:val="24"/>
          <w:szCs w:val="24"/>
        </w:rPr>
        <w:t xml:space="preserve">of time, </w:t>
      </w:r>
      <w:r w:rsidR="00181F0E">
        <w:rPr>
          <w:rFonts w:ascii="Century Gothic" w:hAnsi="Century Gothic"/>
          <w:sz w:val="24"/>
          <w:szCs w:val="24"/>
        </w:rPr>
        <w:t>between 1 and 5 years.</w:t>
      </w:r>
    </w:p>
    <w:p w:rsidR="00181F0E" w:rsidRDefault="00181F0E" w:rsidP="00181F0E">
      <w:pPr>
        <w:pStyle w:val="BodyText"/>
        <w:spacing w:after="0" w:line="360" w:lineRule="auto"/>
        <w:rPr>
          <w:rFonts w:ascii="Century Gothic" w:hAnsi="Century Gothic"/>
          <w:sz w:val="24"/>
          <w:szCs w:val="24"/>
        </w:rPr>
      </w:pPr>
    </w:p>
    <w:p w:rsidR="00A02A7E" w:rsidRDefault="00A02A7E" w:rsidP="00B2407D">
      <w:pPr>
        <w:pStyle w:val="BodyText"/>
        <w:spacing w:after="0" w:line="360" w:lineRule="auto"/>
        <w:rPr>
          <w:rFonts w:ascii="Century Gothic" w:hAnsi="Century Gothic"/>
          <w:sz w:val="24"/>
          <w:szCs w:val="24"/>
        </w:rPr>
      </w:pPr>
      <w:r>
        <w:rPr>
          <w:rFonts w:ascii="Century Gothic" w:hAnsi="Century Gothic"/>
          <w:sz w:val="24"/>
          <w:szCs w:val="24"/>
        </w:rPr>
        <w:t xml:space="preserve">Derivative residence </w:t>
      </w:r>
    </w:p>
    <w:p w:rsidR="003C4725" w:rsidRDefault="003C4725" w:rsidP="00B2407D">
      <w:pPr>
        <w:pStyle w:val="BodyText"/>
        <w:spacing w:after="0" w:line="360" w:lineRule="auto"/>
        <w:rPr>
          <w:rFonts w:ascii="Century Gothic" w:hAnsi="Century Gothic"/>
          <w:sz w:val="24"/>
          <w:szCs w:val="24"/>
        </w:rPr>
      </w:pPr>
    </w:p>
    <w:p w:rsidR="00A02A7E" w:rsidRDefault="00A02A7E" w:rsidP="00A02A7E">
      <w:pPr>
        <w:pStyle w:val="BodyText"/>
        <w:spacing w:after="0" w:line="360" w:lineRule="auto"/>
        <w:rPr>
          <w:rFonts w:ascii="Century Gothic" w:hAnsi="Century Gothic"/>
          <w:sz w:val="24"/>
          <w:szCs w:val="24"/>
        </w:rPr>
      </w:pPr>
      <w:r>
        <w:rPr>
          <w:rFonts w:ascii="Century Gothic" w:hAnsi="Century Gothic"/>
          <w:sz w:val="24"/>
          <w:szCs w:val="24"/>
        </w:rPr>
        <w:t>Of th</w:t>
      </w:r>
      <w:r w:rsidR="004803B3">
        <w:rPr>
          <w:rFonts w:ascii="Century Gothic" w:hAnsi="Century Gothic"/>
          <w:sz w:val="24"/>
          <w:szCs w:val="24"/>
        </w:rPr>
        <w:t>e</w:t>
      </w:r>
      <w:r>
        <w:rPr>
          <w:rFonts w:ascii="Century Gothic" w:hAnsi="Century Gothic"/>
          <w:sz w:val="24"/>
          <w:szCs w:val="24"/>
        </w:rPr>
        <w:t xml:space="preserve"> </w:t>
      </w:r>
      <w:r w:rsidR="00D84EF8">
        <w:rPr>
          <w:rFonts w:ascii="Century Gothic" w:hAnsi="Century Gothic"/>
          <w:sz w:val="24"/>
          <w:szCs w:val="24"/>
        </w:rPr>
        <w:t xml:space="preserve">6 </w:t>
      </w:r>
      <w:r>
        <w:rPr>
          <w:rFonts w:ascii="Century Gothic" w:hAnsi="Century Gothic"/>
          <w:sz w:val="24"/>
          <w:szCs w:val="24"/>
        </w:rPr>
        <w:t xml:space="preserve">clients who had applied for a derivative residence card, only one received a positive first instance decision from the Secretary of State.  The remainder </w:t>
      </w:r>
      <w:r w:rsidR="000032E5">
        <w:rPr>
          <w:rFonts w:ascii="Century Gothic" w:hAnsi="Century Gothic"/>
          <w:sz w:val="24"/>
          <w:szCs w:val="24"/>
        </w:rPr>
        <w:t xml:space="preserve">were all successful </w:t>
      </w:r>
      <w:r>
        <w:rPr>
          <w:rFonts w:ascii="Century Gothic" w:hAnsi="Century Gothic"/>
          <w:sz w:val="24"/>
          <w:szCs w:val="24"/>
        </w:rPr>
        <w:t xml:space="preserve">on appeal. </w:t>
      </w:r>
    </w:p>
    <w:p w:rsidR="00A02A7E" w:rsidRDefault="00A02A7E" w:rsidP="00A02A7E">
      <w:pPr>
        <w:pStyle w:val="BodyText"/>
        <w:spacing w:after="0" w:line="360" w:lineRule="auto"/>
        <w:rPr>
          <w:rFonts w:ascii="Century Gothic" w:hAnsi="Century Gothic"/>
          <w:sz w:val="24"/>
          <w:szCs w:val="24"/>
        </w:rPr>
      </w:pPr>
    </w:p>
    <w:p w:rsidR="009531A7" w:rsidRDefault="004A4F7E" w:rsidP="009531A7">
      <w:pPr>
        <w:pStyle w:val="BodyText"/>
        <w:spacing w:after="0" w:line="360" w:lineRule="auto"/>
        <w:rPr>
          <w:rFonts w:ascii="Century Gothic" w:hAnsi="Century Gothic"/>
          <w:sz w:val="24"/>
          <w:szCs w:val="24"/>
        </w:rPr>
      </w:pPr>
      <w:r>
        <w:rPr>
          <w:rFonts w:ascii="Century Gothic" w:hAnsi="Century Gothic"/>
          <w:sz w:val="24"/>
          <w:szCs w:val="24"/>
        </w:rPr>
        <w:t xml:space="preserve">The First Tier Tribunal decisions were not consistent; they allowed three of the </w:t>
      </w:r>
      <w:r w:rsidR="00A02A7E">
        <w:rPr>
          <w:rFonts w:ascii="Century Gothic" w:hAnsi="Century Gothic"/>
          <w:sz w:val="24"/>
          <w:szCs w:val="24"/>
        </w:rPr>
        <w:t>appeal</w:t>
      </w:r>
      <w:r>
        <w:rPr>
          <w:rFonts w:ascii="Century Gothic" w:hAnsi="Century Gothic"/>
          <w:sz w:val="24"/>
          <w:szCs w:val="24"/>
        </w:rPr>
        <w:t xml:space="preserve">s on </w:t>
      </w:r>
      <w:r w:rsidR="00A02A7E">
        <w:rPr>
          <w:rFonts w:ascii="Century Gothic" w:hAnsi="Century Gothic"/>
          <w:sz w:val="24"/>
          <w:szCs w:val="24"/>
        </w:rPr>
        <w:t xml:space="preserve">Article 8 as well on derivative rights grounds.  </w:t>
      </w:r>
      <w:r>
        <w:rPr>
          <w:rFonts w:ascii="Century Gothic" w:hAnsi="Century Gothic"/>
          <w:sz w:val="24"/>
          <w:szCs w:val="24"/>
        </w:rPr>
        <w:t>(</w:t>
      </w:r>
      <w:r w:rsidR="00A02A7E">
        <w:rPr>
          <w:rFonts w:ascii="Century Gothic" w:hAnsi="Century Gothic"/>
          <w:sz w:val="24"/>
          <w:szCs w:val="24"/>
        </w:rPr>
        <w:t xml:space="preserve">One of </w:t>
      </w:r>
      <w:r w:rsidR="00A02A7E">
        <w:rPr>
          <w:rFonts w:ascii="Century Gothic" w:hAnsi="Century Gothic"/>
          <w:sz w:val="24"/>
          <w:szCs w:val="24"/>
        </w:rPr>
        <w:lastRenderedPageBreak/>
        <w:t>these cases proceeded to the Upper Tribunal which also allowed the case on EEA and Article 8 grounds</w:t>
      </w:r>
      <w:r w:rsidR="009531A7">
        <w:rPr>
          <w:rFonts w:ascii="Century Gothic" w:hAnsi="Century Gothic"/>
          <w:sz w:val="24"/>
          <w:szCs w:val="24"/>
        </w:rPr>
        <w:t>; in fact t</w:t>
      </w:r>
      <w:r w:rsidR="00A02A7E">
        <w:rPr>
          <w:rFonts w:ascii="Century Gothic" w:hAnsi="Century Gothic"/>
          <w:sz w:val="24"/>
          <w:szCs w:val="24"/>
        </w:rPr>
        <w:t>he Home Office conceded the case at the hearing</w:t>
      </w:r>
      <w:r>
        <w:rPr>
          <w:rFonts w:ascii="Century Gothic" w:hAnsi="Century Gothic"/>
          <w:sz w:val="24"/>
          <w:szCs w:val="24"/>
        </w:rPr>
        <w:t>)</w:t>
      </w:r>
      <w:r w:rsidR="00A02A7E">
        <w:rPr>
          <w:rFonts w:ascii="Century Gothic" w:hAnsi="Century Gothic"/>
          <w:sz w:val="24"/>
          <w:szCs w:val="24"/>
        </w:rPr>
        <w:t>.</w:t>
      </w:r>
      <w:r w:rsidR="00500430">
        <w:rPr>
          <w:rFonts w:ascii="Century Gothic" w:hAnsi="Century Gothic"/>
          <w:sz w:val="24"/>
          <w:szCs w:val="24"/>
        </w:rPr>
        <w:t xml:space="preserve"> </w:t>
      </w:r>
      <w:r w:rsidR="009531A7">
        <w:rPr>
          <w:rFonts w:ascii="Century Gothic" w:hAnsi="Century Gothic"/>
          <w:sz w:val="24"/>
          <w:szCs w:val="24"/>
        </w:rPr>
        <w:t xml:space="preserve">In the other two cases, there were no explicit findings relating to Article 8, although the First Tier Tribunal judge did find in both cases that it would be unreasonable to expect the British citizen child to relocate to the country of origin of the mother.  </w:t>
      </w:r>
      <w:r w:rsidR="00500430">
        <w:rPr>
          <w:rFonts w:ascii="Century Gothic" w:hAnsi="Century Gothic"/>
          <w:sz w:val="24"/>
          <w:szCs w:val="24"/>
        </w:rPr>
        <w:t xml:space="preserve">There was also an inconsistent approach by the Tribunal in relation to </w:t>
      </w:r>
      <w:r w:rsidR="002871E9">
        <w:rPr>
          <w:rFonts w:ascii="Century Gothic" w:hAnsi="Century Gothic"/>
          <w:sz w:val="24"/>
          <w:szCs w:val="24"/>
        </w:rPr>
        <w:t xml:space="preserve">applications for </w:t>
      </w:r>
      <w:r w:rsidR="009531A7">
        <w:rPr>
          <w:rFonts w:ascii="Century Gothic" w:hAnsi="Century Gothic"/>
          <w:sz w:val="24"/>
          <w:szCs w:val="24"/>
        </w:rPr>
        <w:t>permission to appeal to the Upper Tribunal</w:t>
      </w:r>
      <w:r w:rsidR="002871E9">
        <w:rPr>
          <w:rFonts w:ascii="Century Gothic" w:hAnsi="Century Gothic"/>
          <w:sz w:val="24"/>
          <w:szCs w:val="24"/>
        </w:rPr>
        <w:t xml:space="preserve"> on the grounds that the Tribunal should have made findings on Article 8</w:t>
      </w:r>
      <w:r w:rsidR="00500430">
        <w:rPr>
          <w:rFonts w:ascii="Century Gothic" w:hAnsi="Century Gothic"/>
          <w:sz w:val="24"/>
          <w:szCs w:val="24"/>
        </w:rPr>
        <w:t>; one was refused and the other granted</w:t>
      </w:r>
      <w:r w:rsidR="009531A7">
        <w:rPr>
          <w:rFonts w:ascii="Century Gothic" w:hAnsi="Century Gothic"/>
          <w:sz w:val="24"/>
          <w:szCs w:val="24"/>
        </w:rPr>
        <w:t xml:space="preserve"> permission but the case </w:t>
      </w:r>
      <w:r w:rsidR="004803B3">
        <w:rPr>
          <w:rFonts w:ascii="Century Gothic" w:hAnsi="Century Gothic"/>
          <w:sz w:val="24"/>
          <w:szCs w:val="24"/>
        </w:rPr>
        <w:t>was</w:t>
      </w:r>
      <w:r w:rsidR="009531A7">
        <w:rPr>
          <w:rFonts w:ascii="Century Gothic" w:hAnsi="Century Gothic"/>
          <w:sz w:val="24"/>
          <w:szCs w:val="24"/>
        </w:rPr>
        <w:t xml:space="preserve"> stayed pending the </w:t>
      </w:r>
      <w:r w:rsidR="00E7608D">
        <w:rPr>
          <w:rFonts w:ascii="Century Gothic" w:hAnsi="Century Gothic"/>
          <w:sz w:val="24"/>
          <w:szCs w:val="24"/>
        </w:rPr>
        <w:t>outcome o</w:t>
      </w:r>
      <w:r w:rsidR="009531A7">
        <w:rPr>
          <w:rFonts w:ascii="Century Gothic" w:hAnsi="Century Gothic"/>
          <w:sz w:val="24"/>
          <w:szCs w:val="24"/>
        </w:rPr>
        <w:t xml:space="preserve">f </w:t>
      </w:r>
      <w:r w:rsidR="004803B3">
        <w:rPr>
          <w:rFonts w:ascii="Century Gothic" w:hAnsi="Century Gothic"/>
          <w:sz w:val="24"/>
          <w:szCs w:val="24"/>
        </w:rPr>
        <w:t>another matter before the UT</w:t>
      </w:r>
      <w:r w:rsidR="00E7608D">
        <w:rPr>
          <w:rFonts w:ascii="Century Gothic" w:hAnsi="Century Gothic"/>
          <w:sz w:val="24"/>
          <w:szCs w:val="24"/>
        </w:rPr>
        <w:t xml:space="preserve">, in which the determination was only recently </w:t>
      </w:r>
      <w:proofErr w:type="gramStart"/>
      <w:r w:rsidR="00E7608D">
        <w:rPr>
          <w:rFonts w:ascii="Century Gothic" w:hAnsi="Century Gothic"/>
          <w:sz w:val="24"/>
          <w:szCs w:val="24"/>
        </w:rPr>
        <w:t xml:space="preserve">promulgated </w:t>
      </w:r>
      <w:r w:rsidR="000F1C96">
        <w:rPr>
          <w:rFonts w:ascii="Century Gothic" w:hAnsi="Century Gothic"/>
          <w:sz w:val="24"/>
          <w:szCs w:val="24"/>
        </w:rPr>
        <w:t>.</w:t>
      </w:r>
      <w:proofErr w:type="gramEnd"/>
      <w:r w:rsidR="000F1C96">
        <w:rPr>
          <w:rFonts w:ascii="Century Gothic" w:hAnsi="Century Gothic"/>
          <w:sz w:val="24"/>
          <w:szCs w:val="24"/>
        </w:rPr>
        <w:t xml:space="preserve"> </w:t>
      </w:r>
      <w:r w:rsidR="000F1C96">
        <w:rPr>
          <w:rStyle w:val="FootnoteReference"/>
          <w:rFonts w:ascii="Century Gothic" w:hAnsi="Century Gothic"/>
          <w:sz w:val="24"/>
          <w:szCs w:val="24"/>
        </w:rPr>
        <w:footnoteReference w:id="5"/>
      </w:r>
      <w:r w:rsidR="004803B3">
        <w:rPr>
          <w:rFonts w:ascii="Century Gothic" w:hAnsi="Century Gothic"/>
          <w:sz w:val="24"/>
          <w:szCs w:val="24"/>
        </w:rPr>
        <w:t xml:space="preserve"> </w:t>
      </w:r>
    </w:p>
    <w:p w:rsidR="00A02A7E" w:rsidRDefault="00A02A7E" w:rsidP="00A02A7E">
      <w:pPr>
        <w:pStyle w:val="BodyText"/>
        <w:spacing w:after="0" w:line="360" w:lineRule="auto"/>
        <w:rPr>
          <w:rFonts w:ascii="Century Gothic" w:hAnsi="Century Gothic"/>
          <w:sz w:val="24"/>
          <w:szCs w:val="24"/>
        </w:rPr>
      </w:pPr>
    </w:p>
    <w:p w:rsidR="00500430" w:rsidRDefault="00A02A7E" w:rsidP="00A02A7E">
      <w:pPr>
        <w:pStyle w:val="BodyText"/>
        <w:spacing w:after="0" w:line="360" w:lineRule="auto"/>
        <w:rPr>
          <w:rFonts w:ascii="Century Gothic" w:hAnsi="Century Gothic"/>
          <w:sz w:val="24"/>
          <w:szCs w:val="24"/>
        </w:rPr>
      </w:pPr>
      <w:r>
        <w:rPr>
          <w:rFonts w:ascii="Century Gothic" w:hAnsi="Century Gothic"/>
          <w:sz w:val="24"/>
          <w:szCs w:val="24"/>
        </w:rPr>
        <w:t xml:space="preserve">In relation to </w:t>
      </w:r>
      <w:r w:rsidR="009531A7">
        <w:rPr>
          <w:rFonts w:ascii="Century Gothic" w:hAnsi="Century Gothic"/>
          <w:sz w:val="24"/>
          <w:szCs w:val="24"/>
        </w:rPr>
        <w:t xml:space="preserve">all </w:t>
      </w:r>
      <w:r>
        <w:rPr>
          <w:rFonts w:ascii="Century Gothic" w:hAnsi="Century Gothic"/>
          <w:sz w:val="24"/>
          <w:szCs w:val="24"/>
        </w:rPr>
        <w:t xml:space="preserve">the appealed cases, even in the ones with explicit Article 8 findings, the Secretary of State </w:t>
      </w:r>
      <w:r w:rsidR="00500430">
        <w:rPr>
          <w:rFonts w:ascii="Century Gothic" w:hAnsi="Century Gothic"/>
          <w:sz w:val="24"/>
          <w:szCs w:val="24"/>
        </w:rPr>
        <w:t xml:space="preserve">eventually </w:t>
      </w:r>
      <w:r>
        <w:rPr>
          <w:rFonts w:ascii="Century Gothic" w:hAnsi="Century Gothic"/>
          <w:sz w:val="24"/>
          <w:szCs w:val="24"/>
        </w:rPr>
        <w:t>issued a derivative residence card</w:t>
      </w:r>
      <w:r w:rsidR="00D84EF8">
        <w:rPr>
          <w:rFonts w:ascii="Century Gothic" w:hAnsi="Century Gothic"/>
          <w:sz w:val="24"/>
          <w:szCs w:val="24"/>
        </w:rPr>
        <w:t xml:space="preserve"> only</w:t>
      </w:r>
      <w:r w:rsidR="004803B3">
        <w:rPr>
          <w:rFonts w:ascii="Century Gothic" w:hAnsi="Century Gothic"/>
          <w:sz w:val="24"/>
          <w:szCs w:val="24"/>
        </w:rPr>
        <w:t xml:space="preserve">. </w:t>
      </w:r>
      <w:r>
        <w:rPr>
          <w:rFonts w:ascii="Century Gothic" w:hAnsi="Century Gothic"/>
          <w:sz w:val="24"/>
          <w:szCs w:val="24"/>
        </w:rPr>
        <w:t xml:space="preserve">  </w:t>
      </w:r>
    </w:p>
    <w:p w:rsidR="00500430" w:rsidRDefault="00500430" w:rsidP="00A02A7E">
      <w:pPr>
        <w:pStyle w:val="BodyText"/>
        <w:spacing w:after="0" w:line="360" w:lineRule="auto"/>
        <w:rPr>
          <w:rFonts w:ascii="Century Gothic" w:hAnsi="Century Gothic"/>
          <w:sz w:val="24"/>
          <w:szCs w:val="24"/>
        </w:rPr>
      </w:pPr>
    </w:p>
    <w:p w:rsidR="00A02A7E" w:rsidRDefault="00500430" w:rsidP="00A02A7E">
      <w:pPr>
        <w:pStyle w:val="BodyText"/>
        <w:spacing w:after="0" w:line="360" w:lineRule="auto"/>
        <w:rPr>
          <w:rFonts w:ascii="Century Gothic" w:hAnsi="Century Gothic"/>
          <w:sz w:val="24"/>
          <w:szCs w:val="24"/>
        </w:rPr>
      </w:pPr>
      <w:r>
        <w:rPr>
          <w:rFonts w:ascii="Century Gothic" w:hAnsi="Century Gothic"/>
          <w:sz w:val="24"/>
          <w:szCs w:val="24"/>
        </w:rPr>
        <w:t>W</w:t>
      </w:r>
      <w:r w:rsidR="00D25904">
        <w:rPr>
          <w:rFonts w:ascii="Century Gothic" w:hAnsi="Century Gothic"/>
          <w:sz w:val="24"/>
          <w:szCs w:val="24"/>
        </w:rPr>
        <w:t xml:space="preserve">e have challenged these decisions; </w:t>
      </w:r>
      <w:r>
        <w:rPr>
          <w:rFonts w:ascii="Century Gothic" w:hAnsi="Century Gothic"/>
          <w:sz w:val="24"/>
          <w:szCs w:val="24"/>
        </w:rPr>
        <w:t>t</w:t>
      </w:r>
      <w:r w:rsidR="00A02A7E">
        <w:rPr>
          <w:rFonts w:ascii="Century Gothic" w:hAnsi="Century Gothic"/>
          <w:sz w:val="24"/>
          <w:szCs w:val="24"/>
        </w:rPr>
        <w:t xml:space="preserve">he Secretary of State </w:t>
      </w:r>
      <w:r w:rsidR="009531A7">
        <w:rPr>
          <w:rFonts w:ascii="Century Gothic" w:hAnsi="Century Gothic"/>
          <w:sz w:val="24"/>
          <w:szCs w:val="24"/>
        </w:rPr>
        <w:t xml:space="preserve">granted </w:t>
      </w:r>
      <w:r w:rsidR="00A02A7E">
        <w:rPr>
          <w:rFonts w:ascii="Century Gothic" w:hAnsi="Century Gothic"/>
          <w:sz w:val="24"/>
          <w:szCs w:val="24"/>
        </w:rPr>
        <w:t>30 month</w:t>
      </w:r>
      <w:r w:rsidR="009531A7">
        <w:rPr>
          <w:rFonts w:ascii="Century Gothic" w:hAnsi="Century Gothic"/>
          <w:sz w:val="24"/>
          <w:szCs w:val="24"/>
        </w:rPr>
        <w:t>s</w:t>
      </w:r>
      <w:r w:rsidR="00A02A7E">
        <w:rPr>
          <w:rFonts w:ascii="Century Gothic" w:hAnsi="Century Gothic"/>
          <w:sz w:val="24"/>
          <w:szCs w:val="24"/>
        </w:rPr>
        <w:t xml:space="preserve"> leave to remain with access to public funds within the course of judicial review proceedings</w:t>
      </w:r>
      <w:r w:rsidR="009531A7">
        <w:rPr>
          <w:rFonts w:ascii="Century Gothic" w:hAnsi="Century Gothic"/>
          <w:sz w:val="24"/>
          <w:szCs w:val="24"/>
        </w:rPr>
        <w:t xml:space="preserve"> in one case and following pre-action correspondence in </w:t>
      </w:r>
      <w:r>
        <w:rPr>
          <w:rFonts w:ascii="Century Gothic" w:hAnsi="Century Gothic"/>
          <w:sz w:val="24"/>
          <w:szCs w:val="24"/>
        </w:rPr>
        <w:t>two others</w:t>
      </w:r>
      <w:r w:rsidR="00A02A7E">
        <w:rPr>
          <w:rFonts w:ascii="Century Gothic" w:hAnsi="Century Gothic"/>
          <w:sz w:val="24"/>
          <w:szCs w:val="24"/>
        </w:rPr>
        <w:t>.</w:t>
      </w:r>
      <w:r w:rsidR="009531A7">
        <w:rPr>
          <w:rFonts w:ascii="Century Gothic" w:hAnsi="Century Gothic"/>
          <w:sz w:val="24"/>
          <w:szCs w:val="24"/>
        </w:rPr>
        <w:t xml:space="preserve"> </w:t>
      </w:r>
      <w:r w:rsidR="003C4725">
        <w:rPr>
          <w:rFonts w:ascii="Century Gothic" w:hAnsi="Century Gothic"/>
          <w:sz w:val="24"/>
          <w:szCs w:val="24"/>
        </w:rPr>
        <w:t xml:space="preserve">One client has mental health problems and one has cognitive difficulties. </w:t>
      </w:r>
      <w:r>
        <w:rPr>
          <w:rFonts w:ascii="Century Gothic" w:hAnsi="Century Gothic"/>
          <w:sz w:val="24"/>
          <w:szCs w:val="24"/>
        </w:rPr>
        <w:t>Another</w:t>
      </w:r>
      <w:r w:rsidR="003C4725">
        <w:rPr>
          <w:rFonts w:ascii="Century Gothic" w:hAnsi="Century Gothic"/>
          <w:sz w:val="24"/>
          <w:szCs w:val="24"/>
        </w:rPr>
        <w:t>, who has learning difficulties,</w:t>
      </w:r>
      <w:r>
        <w:rPr>
          <w:rFonts w:ascii="Century Gothic" w:hAnsi="Century Gothic"/>
          <w:sz w:val="24"/>
          <w:szCs w:val="24"/>
        </w:rPr>
        <w:t xml:space="preserve"> </w:t>
      </w:r>
      <w:r w:rsidR="004803B3">
        <w:rPr>
          <w:rFonts w:ascii="Century Gothic" w:hAnsi="Century Gothic"/>
          <w:sz w:val="24"/>
          <w:szCs w:val="24"/>
        </w:rPr>
        <w:t xml:space="preserve">was refused permission to bring </w:t>
      </w:r>
      <w:r w:rsidR="002871E9">
        <w:rPr>
          <w:rFonts w:ascii="Century Gothic" w:hAnsi="Century Gothic"/>
          <w:sz w:val="24"/>
          <w:szCs w:val="24"/>
        </w:rPr>
        <w:t xml:space="preserve">her </w:t>
      </w:r>
      <w:r w:rsidR="004803B3">
        <w:rPr>
          <w:rFonts w:ascii="Century Gothic" w:hAnsi="Century Gothic"/>
          <w:sz w:val="24"/>
          <w:szCs w:val="24"/>
        </w:rPr>
        <w:t xml:space="preserve">judicial review and the permission hearing has been put </w:t>
      </w:r>
      <w:r w:rsidR="00DE191E">
        <w:rPr>
          <w:rFonts w:ascii="Century Gothic" w:hAnsi="Century Gothic"/>
          <w:sz w:val="24"/>
          <w:szCs w:val="24"/>
        </w:rPr>
        <w:t>adjourned</w:t>
      </w:r>
      <w:r w:rsidR="004803B3">
        <w:rPr>
          <w:rFonts w:ascii="Century Gothic" w:hAnsi="Century Gothic"/>
          <w:sz w:val="24"/>
          <w:szCs w:val="24"/>
        </w:rPr>
        <w:t xml:space="preserve"> pending the outcome of </w:t>
      </w:r>
      <w:r w:rsidR="00D25904">
        <w:rPr>
          <w:rFonts w:ascii="Century Gothic" w:hAnsi="Century Gothic"/>
          <w:sz w:val="24"/>
          <w:szCs w:val="24"/>
        </w:rPr>
        <w:t xml:space="preserve">a similar case </w:t>
      </w:r>
      <w:r w:rsidR="004A4F7E">
        <w:rPr>
          <w:rFonts w:ascii="Century Gothic" w:hAnsi="Century Gothic"/>
          <w:sz w:val="24"/>
          <w:szCs w:val="24"/>
        </w:rPr>
        <w:t xml:space="preserve">in </w:t>
      </w:r>
      <w:r w:rsidR="00D25904">
        <w:rPr>
          <w:rFonts w:ascii="Century Gothic" w:hAnsi="Century Gothic"/>
          <w:sz w:val="24"/>
          <w:szCs w:val="24"/>
        </w:rPr>
        <w:t>which judgement is awaited.</w:t>
      </w:r>
    </w:p>
    <w:p w:rsidR="00A02A7E" w:rsidRDefault="00A02A7E" w:rsidP="00A02A7E">
      <w:pPr>
        <w:pStyle w:val="BodyText"/>
        <w:spacing w:after="0" w:line="360" w:lineRule="auto"/>
        <w:rPr>
          <w:rFonts w:ascii="Century Gothic" w:hAnsi="Century Gothic"/>
          <w:sz w:val="24"/>
          <w:szCs w:val="24"/>
        </w:rPr>
      </w:pPr>
    </w:p>
    <w:p w:rsidR="00D25904" w:rsidRDefault="00500430" w:rsidP="00D25904">
      <w:pPr>
        <w:pStyle w:val="BodyText"/>
        <w:spacing w:after="0" w:line="360" w:lineRule="auto"/>
        <w:rPr>
          <w:rFonts w:ascii="Century Gothic" w:hAnsi="Century Gothic"/>
          <w:sz w:val="24"/>
          <w:szCs w:val="24"/>
        </w:rPr>
      </w:pPr>
      <w:r>
        <w:rPr>
          <w:rFonts w:ascii="Century Gothic" w:hAnsi="Century Gothic"/>
          <w:sz w:val="24"/>
          <w:szCs w:val="24"/>
        </w:rPr>
        <w:t xml:space="preserve">Where </w:t>
      </w:r>
      <w:r w:rsidR="004A4F7E">
        <w:rPr>
          <w:rFonts w:ascii="Century Gothic" w:hAnsi="Century Gothic"/>
          <w:sz w:val="24"/>
          <w:szCs w:val="24"/>
        </w:rPr>
        <w:t>clients</w:t>
      </w:r>
      <w:r w:rsidR="00D25904">
        <w:rPr>
          <w:rFonts w:ascii="Century Gothic" w:hAnsi="Century Gothic"/>
          <w:sz w:val="24"/>
          <w:szCs w:val="24"/>
        </w:rPr>
        <w:t xml:space="preserve"> made a subsequent</w:t>
      </w:r>
      <w:r w:rsidR="00181F0E">
        <w:rPr>
          <w:rFonts w:ascii="Century Gothic" w:hAnsi="Century Gothic"/>
          <w:sz w:val="24"/>
          <w:szCs w:val="24"/>
        </w:rPr>
        <w:t xml:space="preserve"> application for leave to remain</w:t>
      </w:r>
      <w:r w:rsidR="004803B3">
        <w:rPr>
          <w:rFonts w:ascii="Century Gothic" w:hAnsi="Century Gothic"/>
          <w:sz w:val="24"/>
          <w:szCs w:val="24"/>
        </w:rPr>
        <w:t xml:space="preserve"> under the rules</w:t>
      </w:r>
      <w:r w:rsidR="004A4F7E">
        <w:rPr>
          <w:rFonts w:ascii="Century Gothic" w:hAnsi="Century Gothic"/>
          <w:sz w:val="24"/>
          <w:szCs w:val="24"/>
        </w:rPr>
        <w:t xml:space="preserve">, they experienced </w:t>
      </w:r>
      <w:r w:rsidR="00181F0E">
        <w:rPr>
          <w:rFonts w:ascii="Century Gothic" w:hAnsi="Century Gothic"/>
          <w:sz w:val="24"/>
          <w:szCs w:val="24"/>
        </w:rPr>
        <w:t>delay</w:t>
      </w:r>
      <w:r w:rsidR="004A4F7E">
        <w:rPr>
          <w:rFonts w:ascii="Century Gothic" w:hAnsi="Century Gothic"/>
          <w:sz w:val="24"/>
          <w:szCs w:val="24"/>
        </w:rPr>
        <w:t>s</w:t>
      </w:r>
      <w:r w:rsidR="00D25904">
        <w:rPr>
          <w:rFonts w:ascii="Century Gothic" w:hAnsi="Century Gothic"/>
          <w:sz w:val="24"/>
          <w:szCs w:val="24"/>
        </w:rPr>
        <w:t xml:space="preserve"> in </w:t>
      </w:r>
      <w:r w:rsidR="004A4F7E">
        <w:rPr>
          <w:rFonts w:ascii="Century Gothic" w:hAnsi="Century Gothic"/>
          <w:sz w:val="24"/>
          <w:szCs w:val="24"/>
        </w:rPr>
        <w:t xml:space="preserve">the Home Office </w:t>
      </w:r>
      <w:r w:rsidR="00D25904">
        <w:rPr>
          <w:rFonts w:ascii="Century Gothic" w:hAnsi="Century Gothic"/>
          <w:sz w:val="24"/>
          <w:szCs w:val="24"/>
        </w:rPr>
        <w:t>processing the application</w:t>
      </w:r>
      <w:r w:rsidR="003C4725">
        <w:rPr>
          <w:rFonts w:ascii="Century Gothic" w:hAnsi="Century Gothic"/>
          <w:sz w:val="24"/>
          <w:szCs w:val="24"/>
        </w:rPr>
        <w:t>. O</w:t>
      </w:r>
      <w:r>
        <w:rPr>
          <w:rFonts w:ascii="Century Gothic" w:hAnsi="Century Gothic"/>
          <w:sz w:val="24"/>
          <w:szCs w:val="24"/>
        </w:rPr>
        <w:t xml:space="preserve">ne </w:t>
      </w:r>
      <w:r w:rsidR="00A02A7E">
        <w:rPr>
          <w:rFonts w:ascii="Century Gothic" w:hAnsi="Century Gothic"/>
          <w:sz w:val="24"/>
          <w:szCs w:val="24"/>
        </w:rPr>
        <w:t xml:space="preserve">application was initially returned as void, on the basis that </w:t>
      </w:r>
      <w:r w:rsidR="004803B3">
        <w:rPr>
          <w:rFonts w:ascii="Century Gothic" w:hAnsi="Century Gothic"/>
          <w:sz w:val="24"/>
          <w:szCs w:val="24"/>
        </w:rPr>
        <w:t>the client</w:t>
      </w:r>
      <w:r w:rsidR="00A02A7E">
        <w:rPr>
          <w:rFonts w:ascii="Century Gothic" w:hAnsi="Century Gothic"/>
          <w:sz w:val="24"/>
          <w:szCs w:val="24"/>
        </w:rPr>
        <w:t xml:space="preserve"> had been granted a derivative </w:t>
      </w:r>
      <w:r w:rsidR="003C4725">
        <w:rPr>
          <w:rFonts w:ascii="Century Gothic" w:hAnsi="Century Gothic"/>
          <w:sz w:val="24"/>
          <w:szCs w:val="24"/>
        </w:rPr>
        <w:lastRenderedPageBreak/>
        <w:t>re</w:t>
      </w:r>
      <w:r w:rsidR="00A02A7E">
        <w:rPr>
          <w:rFonts w:ascii="Century Gothic" w:hAnsi="Century Gothic"/>
          <w:sz w:val="24"/>
          <w:szCs w:val="24"/>
        </w:rPr>
        <w:t>sidence card</w:t>
      </w:r>
      <w:r w:rsidR="003C4725">
        <w:rPr>
          <w:rFonts w:ascii="Century Gothic" w:hAnsi="Century Gothic"/>
          <w:sz w:val="24"/>
          <w:szCs w:val="24"/>
        </w:rPr>
        <w:t xml:space="preserve"> and the Home Office only agreed to consider the application after pre action correspondence</w:t>
      </w:r>
      <w:r w:rsidR="00A02A7E">
        <w:rPr>
          <w:rFonts w:ascii="Century Gothic" w:hAnsi="Century Gothic"/>
          <w:sz w:val="24"/>
          <w:szCs w:val="24"/>
        </w:rPr>
        <w:t xml:space="preserve">.  </w:t>
      </w:r>
      <w:r w:rsidR="00D25904">
        <w:rPr>
          <w:rFonts w:ascii="Century Gothic" w:hAnsi="Century Gothic"/>
          <w:sz w:val="24"/>
          <w:szCs w:val="24"/>
        </w:rPr>
        <w:t xml:space="preserve">(Applications were </w:t>
      </w:r>
      <w:r w:rsidR="004803B3">
        <w:rPr>
          <w:rFonts w:ascii="Century Gothic" w:hAnsi="Century Gothic"/>
          <w:sz w:val="24"/>
          <w:szCs w:val="24"/>
        </w:rPr>
        <w:t xml:space="preserve">also </w:t>
      </w:r>
      <w:r w:rsidR="00D25904">
        <w:rPr>
          <w:rFonts w:ascii="Century Gothic" w:hAnsi="Century Gothic"/>
          <w:sz w:val="24"/>
          <w:szCs w:val="24"/>
        </w:rPr>
        <w:t xml:space="preserve">put on hold pending the Home Office review of the </w:t>
      </w:r>
      <w:r w:rsidR="004A4F7E">
        <w:rPr>
          <w:rFonts w:ascii="Century Gothic" w:hAnsi="Century Gothic"/>
          <w:sz w:val="24"/>
          <w:szCs w:val="24"/>
        </w:rPr>
        <w:t>fee waiver policy)</w:t>
      </w:r>
      <w:r w:rsidR="00E7608D">
        <w:rPr>
          <w:rFonts w:ascii="Century Gothic" w:hAnsi="Century Gothic"/>
          <w:sz w:val="24"/>
          <w:szCs w:val="24"/>
        </w:rPr>
        <w:t>.</w:t>
      </w:r>
    </w:p>
    <w:p w:rsidR="00A02A7E" w:rsidRDefault="00A02A7E" w:rsidP="00A02A7E">
      <w:pPr>
        <w:pStyle w:val="BodyText"/>
        <w:spacing w:after="0" w:line="360" w:lineRule="auto"/>
        <w:rPr>
          <w:rFonts w:ascii="Century Gothic" w:hAnsi="Century Gothic"/>
          <w:sz w:val="24"/>
          <w:szCs w:val="24"/>
        </w:rPr>
      </w:pPr>
    </w:p>
    <w:p w:rsidR="001A002F" w:rsidRDefault="009531A7" w:rsidP="00B2407D">
      <w:pPr>
        <w:pStyle w:val="BodyText"/>
        <w:spacing w:after="0" w:line="360" w:lineRule="auto"/>
        <w:rPr>
          <w:rFonts w:ascii="Century Gothic" w:hAnsi="Century Gothic"/>
          <w:sz w:val="24"/>
          <w:szCs w:val="24"/>
        </w:rPr>
      </w:pPr>
      <w:r>
        <w:rPr>
          <w:rFonts w:ascii="Century Gothic" w:hAnsi="Century Gothic"/>
          <w:sz w:val="24"/>
          <w:szCs w:val="24"/>
        </w:rPr>
        <w:t>Leave to remain</w:t>
      </w:r>
    </w:p>
    <w:p w:rsidR="00D25904" w:rsidRDefault="00D25904" w:rsidP="00B2407D">
      <w:pPr>
        <w:pStyle w:val="BodyText"/>
        <w:spacing w:after="0" w:line="360" w:lineRule="auto"/>
        <w:rPr>
          <w:rFonts w:ascii="Century Gothic" w:hAnsi="Century Gothic"/>
          <w:sz w:val="24"/>
          <w:szCs w:val="24"/>
        </w:rPr>
      </w:pPr>
    </w:p>
    <w:p w:rsidR="00181F0E" w:rsidRDefault="009C033C" w:rsidP="00B2407D">
      <w:pPr>
        <w:pStyle w:val="BodyText"/>
        <w:spacing w:after="0" w:line="360" w:lineRule="auto"/>
        <w:rPr>
          <w:rFonts w:ascii="Century Gothic" w:hAnsi="Century Gothic"/>
          <w:sz w:val="24"/>
          <w:szCs w:val="24"/>
        </w:rPr>
      </w:pPr>
      <w:r>
        <w:rPr>
          <w:rFonts w:ascii="Century Gothic" w:hAnsi="Century Gothic"/>
          <w:sz w:val="24"/>
          <w:szCs w:val="24"/>
        </w:rPr>
        <w:t xml:space="preserve">All applicants had sought leave to remain </w:t>
      </w:r>
      <w:r w:rsidR="00DE191E">
        <w:rPr>
          <w:rFonts w:ascii="Century Gothic" w:hAnsi="Century Gothic"/>
          <w:sz w:val="24"/>
          <w:szCs w:val="24"/>
        </w:rPr>
        <w:t>with</w:t>
      </w:r>
      <w:r>
        <w:rPr>
          <w:rFonts w:ascii="Century Gothic" w:hAnsi="Century Gothic"/>
          <w:sz w:val="24"/>
          <w:szCs w:val="24"/>
        </w:rPr>
        <w:t xml:space="preserve"> access to public funds. </w:t>
      </w:r>
    </w:p>
    <w:p w:rsidR="00181F0E" w:rsidRDefault="00181F0E" w:rsidP="00B2407D">
      <w:pPr>
        <w:pStyle w:val="BodyText"/>
        <w:spacing w:after="0" w:line="360" w:lineRule="auto"/>
        <w:rPr>
          <w:rFonts w:ascii="Century Gothic" w:hAnsi="Century Gothic"/>
          <w:sz w:val="24"/>
          <w:szCs w:val="24"/>
        </w:rPr>
      </w:pPr>
    </w:p>
    <w:p w:rsidR="00B43585" w:rsidRDefault="009C033C" w:rsidP="00B2407D">
      <w:pPr>
        <w:pStyle w:val="BodyText"/>
        <w:spacing w:after="0" w:line="360" w:lineRule="auto"/>
        <w:rPr>
          <w:rFonts w:ascii="Century Gothic" w:hAnsi="Century Gothic"/>
          <w:sz w:val="24"/>
          <w:szCs w:val="24"/>
        </w:rPr>
      </w:pPr>
      <w:r>
        <w:rPr>
          <w:rFonts w:ascii="Century Gothic" w:hAnsi="Century Gothic"/>
          <w:sz w:val="24"/>
          <w:szCs w:val="24"/>
        </w:rPr>
        <w:t>Eight of the nineteen c</w:t>
      </w:r>
      <w:r w:rsidR="001852AE">
        <w:rPr>
          <w:rFonts w:ascii="Century Gothic" w:hAnsi="Century Gothic"/>
          <w:sz w:val="24"/>
          <w:szCs w:val="24"/>
        </w:rPr>
        <w:t>ases w</w:t>
      </w:r>
      <w:r>
        <w:rPr>
          <w:rFonts w:ascii="Century Gothic" w:hAnsi="Century Gothic"/>
          <w:sz w:val="24"/>
          <w:szCs w:val="24"/>
        </w:rPr>
        <w:t>e</w:t>
      </w:r>
      <w:r w:rsidR="001852AE">
        <w:rPr>
          <w:rFonts w:ascii="Century Gothic" w:hAnsi="Century Gothic"/>
          <w:sz w:val="24"/>
          <w:szCs w:val="24"/>
        </w:rPr>
        <w:t xml:space="preserve">re </w:t>
      </w:r>
      <w:r>
        <w:rPr>
          <w:rFonts w:ascii="Century Gothic" w:hAnsi="Century Gothic"/>
          <w:sz w:val="24"/>
          <w:szCs w:val="24"/>
        </w:rPr>
        <w:t>granted</w:t>
      </w:r>
      <w:r w:rsidR="001852AE">
        <w:rPr>
          <w:rFonts w:ascii="Century Gothic" w:hAnsi="Century Gothic"/>
          <w:sz w:val="24"/>
          <w:szCs w:val="24"/>
        </w:rPr>
        <w:t xml:space="preserve"> leave to remain</w:t>
      </w:r>
      <w:r>
        <w:rPr>
          <w:rFonts w:ascii="Century Gothic" w:hAnsi="Century Gothic"/>
          <w:sz w:val="24"/>
          <w:szCs w:val="24"/>
        </w:rPr>
        <w:t xml:space="preserve"> </w:t>
      </w:r>
      <w:r w:rsidR="00DE191E">
        <w:rPr>
          <w:rFonts w:ascii="Century Gothic" w:hAnsi="Century Gothic"/>
          <w:sz w:val="24"/>
          <w:szCs w:val="24"/>
        </w:rPr>
        <w:t xml:space="preserve">by the Home Office </w:t>
      </w:r>
      <w:r w:rsidR="004803B3">
        <w:rPr>
          <w:rFonts w:ascii="Century Gothic" w:hAnsi="Century Gothic"/>
          <w:sz w:val="24"/>
          <w:szCs w:val="24"/>
        </w:rPr>
        <w:t xml:space="preserve">on </w:t>
      </w:r>
      <w:r w:rsidR="00DE191E">
        <w:rPr>
          <w:rFonts w:ascii="Century Gothic" w:hAnsi="Century Gothic"/>
          <w:sz w:val="24"/>
          <w:szCs w:val="24"/>
        </w:rPr>
        <w:t xml:space="preserve">initial </w:t>
      </w:r>
      <w:r w:rsidR="004803B3">
        <w:rPr>
          <w:rFonts w:ascii="Century Gothic" w:hAnsi="Century Gothic"/>
          <w:sz w:val="24"/>
          <w:szCs w:val="24"/>
        </w:rPr>
        <w:t>application</w:t>
      </w:r>
      <w:r w:rsidR="003C4725">
        <w:rPr>
          <w:rFonts w:ascii="Century Gothic" w:hAnsi="Century Gothic"/>
          <w:sz w:val="24"/>
          <w:szCs w:val="24"/>
        </w:rPr>
        <w:t>,</w:t>
      </w:r>
      <w:r w:rsidR="004803B3">
        <w:rPr>
          <w:rFonts w:ascii="Century Gothic" w:hAnsi="Century Gothic"/>
          <w:sz w:val="24"/>
          <w:szCs w:val="24"/>
        </w:rPr>
        <w:t xml:space="preserve"> </w:t>
      </w:r>
      <w:r w:rsidR="00DE191E">
        <w:rPr>
          <w:rFonts w:ascii="Century Gothic" w:hAnsi="Century Gothic"/>
          <w:sz w:val="24"/>
          <w:szCs w:val="24"/>
        </w:rPr>
        <w:t>but all had</w:t>
      </w:r>
      <w:r>
        <w:rPr>
          <w:rFonts w:ascii="Century Gothic" w:hAnsi="Century Gothic"/>
          <w:sz w:val="24"/>
          <w:szCs w:val="24"/>
        </w:rPr>
        <w:t xml:space="preserve"> </w:t>
      </w:r>
      <w:proofErr w:type="gramStart"/>
      <w:r>
        <w:rPr>
          <w:rFonts w:ascii="Century Gothic" w:hAnsi="Century Gothic"/>
          <w:sz w:val="24"/>
          <w:szCs w:val="24"/>
        </w:rPr>
        <w:t>a no</w:t>
      </w:r>
      <w:proofErr w:type="gramEnd"/>
      <w:r>
        <w:rPr>
          <w:rFonts w:ascii="Century Gothic" w:hAnsi="Century Gothic"/>
          <w:sz w:val="24"/>
          <w:szCs w:val="24"/>
        </w:rPr>
        <w:t xml:space="preserve"> r</w:t>
      </w:r>
      <w:r w:rsidR="001852AE">
        <w:rPr>
          <w:rFonts w:ascii="Century Gothic" w:hAnsi="Century Gothic"/>
          <w:sz w:val="24"/>
          <w:szCs w:val="24"/>
        </w:rPr>
        <w:t xml:space="preserve">ecourse to public funds </w:t>
      </w:r>
      <w:r>
        <w:rPr>
          <w:rFonts w:ascii="Century Gothic" w:hAnsi="Century Gothic"/>
          <w:sz w:val="24"/>
          <w:szCs w:val="24"/>
        </w:rPr>
        <w:t>condition</w:t>
      </w:r>
      <w:r w:rsidR="001852AE">
        <w:rPr>
          <w:rFonts w:ascii="Century Gothic" w:hAnsi="Century Gothic"/>
          <w:sz w:val="24"/>
          <w:szCs w:val="24"/>
        </w:rPr>
        <w:t xml:space="preserve"> attached</w:t>
      </w:r>
      <w:r w:rsidR="00DE191E">
        <w:rPr>
          <w:rFonts w:ascii="Century Gothic" w:hAnsi="Century Gothic"/>
          <w:sz w:val="24"/>
          <w:szCs w:val="24"/>
        </w:rPr>
        <w:t xml:space="preserve"> to the grant of leave</w:t>
      </w:r>
      <w:r>
        <w:rPr>
          <w:rFonts w:ascii="Century Gothic" w:hAnsi="Century Gothic"/>
          <w:sz w:val="24"/>
          <w:szCs w:val="24"/>
        </w:rPr>
        <w:t>. F</w:t>
      </w:r>
      <w:r w:rsidR="001852AE">
        <w:rPr>
          <w:rFonts w:ascii="Century Gothic" w:hAnsi="Century Gothic"/>
          <w:sz w:val="24"/>
          <w:szCs w:val="24"/>
        </w:rPr>
        <w:t xml:space="preserve">rom the information available three clients were granted access to public funds on requesting a change of conditions.  (Other clients were advised to make the application themselves, or with the help of </w:t>
      </w:r>
      <w:r w:rsidR="004803B3">
        <w:rPr>
          <w:rFonts w:ascii="Century Gothic" w:hAnsi="Century Gothic"/>
          <w:sz w:val="24"/>
          <w:szCs w:val="24"/>
        </w:rPr>
        <w:t>a</w:t>
      </w:r>
      <w:r w:rsidR="001852AE">
        <w:rPr>
          <w:rFonts w:ascii="Century Gothic" w:hAnsi="Century Gothic"/>
          <w:sz w:val="24"/>
          <w:szCs w:val="24"/>
        </w:rPr>
        <w:t xml:space="preserve"> social worker, so their outcome</w:t>
      </w:r>
      <w:r w:rsidR="00E7608D">
        <w:rPr>
          <w:rFonts w:ascii="Century Gothic" w:hAnsi="Century Gothic"/>
          <w:sz w:val="24"/>
          <w:szCs w:val="24"/>
        </w:rPr>
        <w:t>s are</w:t>
      </w:r>
      <w:r w:rsidR="001852AE">
        <w:rPr>
          <w:rFonts w:ascii="Century Gothic" w:hAnsi="Century Gothic"/>
          <w:sz w:val="24"/>
          <w:szCs w:val="24"/>
        </w:rPr>
        <w:t xml:space="preserve"> not known).</w:t>
      </w:r>
    </w:p>
    <w:p w:rsidR="001852AE" w:rsidRDefault="001852AE" w:rsidP="00B2407D">
      <w:pPr>
        <w:pStyle w:val="BodyText"/>
        <w:spacing w:after="0" w:line="360" w:lineRule="auto"/>
        <w:rPr>
          <w:rFonts w:ascii="Century Gothic" w:hAnsi="Century Gothic"/>
          <w:sz w:val="24"/>
          <w:szCs w:val="24"/>
        </w:rPr>
      </w:pPr>
    </w:p>
    <w:p w:rsidR="009C033C" w:rsidRDefault="00181F0E" w:rsidP="00B2407D">
      <w:pPr>
        <w:pStyle w:val="BodyText"/>
        <w:spacing w:after="0" w:line="360" w:lineRule="auto"/>
        <w:rPr>
          <w:rFonts w:ascii="Century Gothic" w:hAnsi="Century Gothic"/>
          <w:sz w:val="24"/>
          <w:szCs w:val="24"/>
        </w:rPr>
      </w:pPr>
      <w:r>
        <w:rPr>
          <w:rFonts w:ascii="Century Gothic" w:hAnsi="Century Gothic"/>
          <w:sz w:val="24"/>
          <w:szCs w:val="24"/>
        </w:rPr>
        <w:t xml:space="preserve">Eleven </w:t>
      </w:r>
      <w:r w:rsidR="009C033C">
        <w:rPr>
          <w:rFonts w:ascii="Century Gothic" w:hAnsi="Century Gothic"/>
          <w:sz w:val="24"/>
          <w:szCs w:val="24"/>
        </w:rPr>
        <w:t xml:space="preserve">clients </w:t>
      </w:r>
      <w:r w:rsidR="001852AE">
        <w:rPr>
          <w:rFonts w:ascii="Century Gothic" w:hAnsi="Century Gothic"/>
          <w:sz w:val="24"/>
          <w:szCs w:val="24"/>
        </w:rPr>
        <w:t>were initially refused leave to remain</w:t>
      </w:r>
      <w:r w:rsidR="009C033C">
        <w:rPr>
          <w:rFonts w:ascii="Century Gothic" w:hAnsi="Century Gothic"/>
          <w:sz w:val="24"/>
          <w:szCs w:val="24"/>
        </w:rPr>
        <w:t xml:space="preserve"> with no right of appeal (all case studies pre-date April 2015)</w:t>
      </w:r>
      <w:r w:rsidR="001852AE">
        <w:rPr>
          <w:rFonts w:ascii="Century Gothic" w:hAnsi="Century Gothic"/>
          <w:sz w:val="24"/>
          <w:szCs w:val="24"/>
        </w:rPr>
        <w:t xml:space="preserve">.  </w:t>
      </w:r>
      <w:r>
        <w:rPr>
          <w:rFonts w:ascii="Century Gothic" w:hAnsi="Century Gothic"/>
          <w:sz w:val="24"/>
          <w:szCs w:val="24"/>
        </w:rPr>
        <w:t>In the Lambeth Law centre cases w</w:t>
      </w:r>
      <w:r w:rsidR="009C033C">
        <w:rPr>
          <w:rFonts w:ascii="Century Gothic" w:hAnsi="Century Gothic"/>
          <w:sz w:val="24"/>
          <w:szCs w:val="24"/>
        </w:rPr>
        <w:t xml:space="preserve">e </w:t>
      </w:r>
      <w:r>
        <w:rPr>
          <w:rFonts w:ascii="Century Gothic" w:hAnsi="Century Gothic"/>
          <w:sz w:val="24"/>
          <w:szCs w:val="24"/>
        </w:rPr>
        <w:t>carried</w:t>
      </w:r>
      <w:r w:rsidR="009C033C">
        <w:rPr>
          <w:rFonts w:ascii="Century Gothic" w:hAnsi="Century Gothic"/>
          <w:sz w:val="24"/>
          <w:szCs w:val="24"/>
        </w:rPr>
        <w:t xml:space="preserve"> out </w:t>
      </w:r>
      <w:r w:rsidR="001852AE">
        <w:rPr>
          <w:rFonts w:ascii="Century Gothic" w:hAnsi="Century Gothic"/>
          <w:sz w:val="24"/>
          <w:szCs w:val="24"/>
        </w:rPr>
        <w:t>pre-action work</w:t>
      </w:r>
      <w:r w:rsidR="009C033C">
        <w:rPr>
          <w:rFonts w:ascii="Century Gothic" w:hAnsi="Century Gothic"/>
          <w:sz w:val="24"/>
          <w:szCs w:val="24"/>
        </w:rPr>
        <w:t xml:space="preserve"> as children were involved in all refusals</w:t>
      </w:r>
      <w:r w:rsidR="001852AE">
        <w:rPr>
          <w:rFonts w:ascii="Century Gothic" w:hAnsi="Century Gothic"/>
          <w:sz w:val="24"/>
          <w:szCs w:val="24"/>
        </w:rPr>
        <w:t xml:space="preserve">, and </w:t>
      </w:r>
      <w:r w:rsidR="009C033C">
        <w:rPr>
          <w:rFonts w:ascii="Century Gothic" w:hAnsi="Century Gothic"/>
          <w:sz w:val="24"/>
          <w:szCs w:val="24"/>
        </w:rPr>
        <w:t>issue</w:t>
      </w:r>
      <w:r>
        <w:rPr>
          <w:rFonts w:ascii="Century Gothic" w:hAnsi="Century Gothic"/>
          <w:sz w:val="24"/>
          <w:szCs w:val="24"/>
        </w:rPr>
        <w:t>d</w:t>
      </w:r>
      <w:r w:rsidR="009C033C">
        <w:rPr>
          <w:rFonts w:ascii="Century Gothic" w:hAnsi="Century Gothic"/>
          <w:sz w:val="24"/>
          <w:szCs w:val="24"/>
        </w:rPr>
        <w:t xml:space="preserve"> </w:t>
      </w:r>
      <w:r w:rsidR="001852AE">
        <w:rPr>
          <w:rFonts w:ascii="Century Gothic" w:hAnsi="Century Gothic"/>
          <w:sz w:val="24"/>
          <w:szCs w:val="24"/>
        </w:rPr>
        <w:t>judicial review proceedings</w:t>
      </w:r>
      <w:r w:rsidR="00201EA4">
        <w:rPr>
          <w:rFonts w:ascii="Century Gothic" w:hAnsi="Century Gothic"/>
          <w:sz w:val="24"/>
          <w:szCs w:val="24"/>
        </w:rPr>
        <w:t xml:space="preserve"> </w:t>
      </w:r>
      <w:r w:rsidR="009C033C">
        <w:rPr>
          <w:rFonts w:ascii="Century Gothic" w:hAnsi="Century Gothic"/>
          <w:sz w:val="24"/>
          <w:szCs w:val="24"/>
        </w:rPr>
        <w:t xml:space="preserve">(in 2 cases), </w:t>
      </w:r>
      <w:r w:rsidR="00201EA4">
        <w:rPr>
          <w:rFonts w:ascii="Century Gothic" w:hAnsi="Century Gothic"/>
          <w:sz w:val="24"/>
          <w:szCs w:val="24"/>
        </w:rPr>
        <w:t xml:space="preserve">which resulted in the Secretary of State agreeing to reconsider the applications.  Of those </w:t>
      </w:r>
      <w:r w:rsidR="009C033C">
        <w:rPr>
          <w:rFonts w:ascii="Century Gothic" w:hAnsi="Century Gothic"/>
          <w:sz w:val="24"/>
          <w:szCs w:val="24"/>
        </w:rPr>
        <w:t xml:space="preserve">reconsiderations, </w:t>
      </w:r>
      <w:r w:rsidR="00201EA4">
        <w:rPr>
          <w:rFonts w:ascii="Century Gothic" w:hAnsi="Century Gothic"/>
          <w:sz w:val="24"/>
          <w:szCs w:val="24"/>
        </w:rPr>
        <w:t>two were granted leave to remain with no recourse</w:t>
      </w:r>
      <w:r w:rsidR="00763560">
        <w:rPr>
          <w:rFonts w:ascii="Century Gothic" w:hAnsi="Century Gothic"/>
          <w:sz w:val="24"/>
          <w:szCs w:val="24"/>
        </w:rPr>
        <w:t xml:space="preserve"> to public funds</w:t>
      </w:r>
      <w:r w:rsidR="009C033C">
        <w:rPr>
          <w:rFonts w:ascii="Century Gothic" w:hAnsi="Century Gothic"/>
          <w:sz w:val="24"/>
          <w:szCs w:val="24"/>
        </w:rPr>
        <w:t xml:space="preserve">, </w:t>
      </w:r>
      <w:r w:rsidR="00763560">
        <w:rPr>
          <w:rFonts w:ascii="Century Gothic" w:hAnsi="Century Gothic"/>
          <w:sz w:val="24"/>
          <w:szCs w:val="24"/>
        </w:rPr>
        <w:t xml:space="preserve">two were refused with an in-country right of appeal, </w:t>
      </w:r>
      <w:r w:rsidR="009C033C">
        <w:rPr>
          <w:rFonts w:ascii="Century Gothic" w:hAnsi="Century Gothic"/>
          <w:sz w:val="24"/>
          <w:szCs w:val="24"/>
        </w:rPr>
        <w:t xml:space="preserve">and </w:t>
      </w:r>
      <w:r w:rsidR="004803B3">
        <w:rPr>
          <w:rFonts w:ascii="Century Gothic" w:hAnsi="Century Gothic"/>
          <w:sz w:val="24"/>
          <w:szCs w:val="24"/>
        </w:rPr>
        <w:t>only one was granted leave to remain with access to public funds</w:t>
      </w:r>
      <w:r w:rsidR="009C033C">
        <w:rPr>
          <w:rFonts w:ascii="Century Gothic" w:hAnsi="Century Gothic"/>
          <w:sz w:val="24"/>
          <w:szCs w:val="24"/>
        </w:rPr>
        <w:t xml:space="preserve">. </w:t>
      </w:r>
    </w:p>
    <w:p w:rsidR="009C033C" w:rsidRDefault="009C033C" w:rsidP="00B2407D">
      <w:pPr>
        <w:pStyle w:val="BodyText"/>
        <w:spacing w:after="0" w:line="360" w:lineRule="auto"/>
        <w:rPr>
          <w:rFonts w:ascii="Century Gothic" w:hAnsi="Century Gothic"/>
          <w:sz w:val="24"/>
          <w:szCs w:val="24"/>
        </w:rPr>
      </w:pPr>
    </w:p>
    <w:p w:rsidR="009C033C" w:rsidRDefault="009C033C" w:rsidP="00B2407D">
      <w:pPr>
        <w:pStyle w:val="BodyText"/>
        <w:spacing w:after="0" w:line="360" w:lineRule="auto"/>
        <w:rPr>
          <w:rFonts w:ascii="Century Gothic" w:hAnsi="Century Gothic"/>
          <w:sz w:val="24"/>
          <w:szCs w:val="24"/>
        </w:rPr>
      </w:pPr>
      <w:r>
        <w:rPr>
          <w:rFonts w:ascii="Century Gothic" w:hAnsi="Century Gothic"/>
          <w:sz w:val="24"/>
          <w:szCs w:val="24"/>
        </w:rPr>
        <w:t xml:space="preserve">One client was given a right of appeal and </w:t>
      </w:r>
      <w:r w:rsidR="00DE191E">
        <w:rPr>
          <w:rFonts w:ascii="Century Gothic" w:hAnsi="Century Gothic"/>
          <w:sz w:val="24"/>
          <w:szCs w:val="24"/>
        </w:rPr>
        <w:t xml:space="preserve">was </w:t>
      </w:r>
      <w:r>
        <w:rPr>
          <w:rFonts w:ascii="Century Gothic" w:hAnsi="Century Gothic"/>
          <w:sz w:val="24"/>
          <w:szCs w:val="24"/>
        </w:rPr>
        <w:t xml:space="preserve">eventually </w:t>
      </w:r>
      <w:r w:rsidR="00763560">
        <w:rPr>
          <w:rFonts w:ascii="Century Gothic" w:hAnsi="Century Gothic"/>
          <w:sz w:val="24"/>
          <w:szCs w:val="24"/>
        </w:rPr>
        <w:t xml:space="preserve">granted discretionary leave to remain for one year with access to public funds, </w:t>
      </w:r>
      <w:r>
        <w:rPr>
          <w:rFonts w:ascii="Century Gothic" w:hAnsi="Century Gothic"/>
          <w:sz w:val="24"/>
          <w:szCs w:val="24"/>
        </w:rPr>
        <w:t xml:space="preserve">following a conclusive grounds decision that </w:t>
      </w:r>
      <w:r w:rsidR="004803B3">
        <w:rPr>
          <w:rFonts w:ascii="Century Gothic" w:hAnsi="Century Gothic"/>
          <w:sz w:val="24"/>
          <w:szCs w:val="24"/>
        </w:rPr>
        <w:t>she</w:t>
      </w:r>
      <w:r>
        <w:rPr>
          <w:rFonts w:ascii="Century Gothic" w:hAnsi="Century Gothic"/>
          <w:sz w:val="24"/>
          <w:szCs w:val="24"/>
        </w:rPr>
        <w:t xml:space="preserve"> </w:t>
      </w:r>
      <w:r w:rsidR="00763560">
        <w:rPr>
          <w:rFonts w:ascii="Century Gothic" w:hAnsi="Century Gothic"/>
          <w:sz w:val="24"/>
          <w:szCs w:val="24"/>
        </w:rPr>
        <w:t>was a victim of trafficking</w:t>
      </w:r>
      <w:r w:rsidR="0009636B">
        <w:rPr>
          <w:rFonts w:ascii="Century Gothic" w:hAnsi="Century Gothic"/>
          <w:sz w:val="24"/>
          <w:szCs w:val="24"/>
        </w:rPr>
        <w:t>.</w:t>
      </w:r>
      <w:r w:rsidR="00AA7189">
        <w:rPr>
          <w:rFonts w:ascii="Century Gothic" w:hAnsi="Century Gothic"/>
          <w:sz w:val="24"/>
          <w:szCs w:val="24"/>
        </w:rPr>
        <w:t xml:space="preserve"> </w:t>
      </w:r>
      <w:r w:rsidR="00E7608D">
        <w:rPr>
          <w:rFonts w:ascii="Century Gothic" w:hAnsi="Century Gothic"/>
          <w:sz w:val="24"/>
          <w:szCs w:val="24"/>
        </w:rPr>
        <w:t>J</w:t>
      </w:r>
      <w:r w:rsidR="00AA7189" w:rsidRPr="00A71CE1">
        <w:rPr>
          <w:rFonts w:ascii="Century Gothic" w:hAnsi="Century Gothic"/>
          <w:sz w:val="24"/>
          <w:szCs w:val="24"/>
        </w:rPr>
        <w:t>udicial review proceedings</w:t>
      </w:r>
      <w:r w:rsidR="00E7608D">
        <w:rPr>
          <w:rFonts w:ascii="Century Gothic" w:hAnsi="Century Gothic"/>
          <w:sz w:val="24"/>
          <w:szCs w:val="24"/>
        </w:rPr>
        <w:t xml:space="preserve"> were issued against the decision, permission was granted and just two </w:t>
      </w:r>
      <w:r w:rsidR="00A71CE1">
        <w:rPr>
          <w:rFonts w:ascii="Century Gothic" w:hAnsi="Century Gothic"/>
          <w:sz w:val="24"/>
          <w:szCs w:val="24"/>
        </w:rPr>
        <w:t xml:space="preserve">weeks before the trial, </w:t>
      </w:r>
      <w:r w:rsidR="00A71CE1">
        <w:rPr>
          <w:rFonts w:ascii="Century Gothic" w:hAnsi="Century Gothic"/>
          <w:sz w:val="24"/>
          <w:szCs w:val="24"/>
        </w:rPr>
        <w:lastRenderedPageBreak/>
        <w:t xml:space="preserve">the </w:t>
      </w:r>
      <w:r w:rsidR="003C4725">
        <w:rPr>
          <w:rFonts w:ascii="Century Gothic" w:hAnsi="Century Gothic"/>
          <w:sz w:val="24"/>
          <w:szCs w:val="24"/>
        </w:rPr>
        <w:t>Home Office</w:t>
      </w:r>
      <w:r w:rsidR="00A71CE1">
        <w:rPr>
          <w:rFonts w:ascii="Century Gothic" w:hAnsi="Century Gothic"/>
          <w:sz w:val="24"/>
          <w:szCs w:val="24"/>
        </w:rPr>
        <w:t xml:space="preserve"> </w:t>
      </w:r>
      <w:r w:rsidR="003C4725">
        <w:rPr>
          <w:rFonts w:ascii="Century Gothic" w:hAnsi="Century Gothic"/>
          <w:sz w:val="24"/>
          <w:szCs w:val="24"/>
        </w:rPr>
        <w:t>agreed</w:t>
      </w:r>
      <w:r w:rsidR="00A71CE1">
        <w:rPr>
          <w:rFonts w:ascii="Century Gothic" w:hAnsi="Century Gothic"/>
          <w:sz w:val="24"/>
          <w:szCs w:val="24"/>
        </w:rPr>
        <w:t xml:space="preserve"> </w:t>
      </w:r>
      <w:r w:rsidR="00E7608D">
        <w:rPr>
          <w:rFonts w:ascii="Century Gothic" w:hAnsi="Century Gothic"/>
          <w:sz w:val="24"/>
          <w:szCs w:val="24"/>
        </w:rPr>
        <w:t xml:space="preserve">to grant the client </w:t>
      </w:r>
      <w:r w:rsidR="00A71CE1">
        <w:rPr>
          <w:rFonts w:ascii="Century Gothic" w:hAnsi="Century Gothic"/>
          <w:sz w:val="24"/>
          <w:szCs w:val="24"/>
        </w:rPr>
        <w:t xml:space="preserve">ILR. </w:t>
      </w:r>
      <w:r w:rsidR="00C538EF" w:rsidRPr="00A71CE1">
        <w:rPr>
          <w:rFonts w:ascii="Century Gothic" w:hAnsi="Century Gothic"/>
          <w:sz w:val="24"/>
          <w:szCs w:val="24"/>
        </w:rPr>
        <w:t xml:space="preserve"> A significant amount of </w:t>
      </w:r>
      <w:r w:rsidR="00A71CE1">
        <w:rPr>
          <w:rFonts w:ascii="Century Gothic" w:hAnsi="Century Gothic"/>
          <w:sz w:val="24"/>
          <w:szCs w:val="24"/>
        </w:rPr>
        <w:t>extremely</w:t>
      </w:r>
      <w:r w:rsidR="00C538EF" w:rsidRPr="00A71CE1">
        <w:rPr>
          <w:rFonts w:ascii="Century Gothic" w:hAnsi="Century Gothic"/>
          <w:sz w:val="24"/>
          <w:szCs w:val="24"/>
        </w:rPr>
        <w:t xml:space="preserve"> compelling psychiatric evidence </w:t>
      </w:r>
      <w:r w:rsidR="00A71CE1">
        <w:rPr>
          <w:rFonts w:ascii="Century Gothic" w:hAnsi="Century Gothic"/>
          <w:sz w:val="24"/>
          <w:szCs w:val="24"/>
        </w:rPr>
        <w:t xml:space="preserve">as to the need for ILR </w:t>
      </w:r>
      <w:r w:rsidR="00F57815">
        <w:rPr>
          <w:rFonts w:ascii="Century Gothic" w:hAnsi="Century Gothic"/>
          <w:sz w:val="24"/>
          <w:szCs w:val="24"/>
        </w:rPr>
        <w:t xml:space="preserve">had been </w:t>
      </w:r>
      <w:r w:rsidR="00C538EF" w:rsidRPr="00A71CE1">
        <w:rPr>
          <w:rFonts w:ascii="Century Gothic" w:hAnsi="Century Gothic"/>
          <w:sz w:val="24"/>
          <w:szCs w:val="24"/>
        </w:rPr>
        <w:t>provided</w:t>
      </w:r>
      <w:r w:rsidR="004803B3">
        <w:rPr>
          <w:rFonts w:ascii="Century Gothic" w:hAnsi="Century Gothic"/>
          <w:sz w:val="24"/>
          <w:szCs w:val="24"/>
        </w:rPr>
        <w:t xml:space="preserve"> in this case</w:t>
      </w:r>
      <w:r w:rsidR="00C538EF" w:rsidRPr="00A71CE1">
        <w:rPr>
          <w:rFonts w:ascii="Century Gothic" w:hAnsi="Century Gothic"/>
          <w:sz w:val="24"/>
          <w:szCs w:val="24"/>
        </w:rPr>
        <w:t xml:space="preserve">.  </w:t>
      </w:r>
    </w:p>
    <w:p w:rsidR="00F57815" w:rsidRDefault="00F57815" w:rsidP="00B2407D">
      <w:pPr>
        <w:pStyle w:val="BodyText"/>
        <w:spacing w:after="0" w:line="360" w:lineRule="auto"/>
        <w:rPr>
          <w:rFonts w:ascii="Century Gothic" w:hAnsi="Century Gothic"/>
          <w:sz w:val="24"/>
          <w:szCs w:val="24"/>
        </w:rPr>
      </w:pPr>
    </w:p>
    <w:p w:rsidR="00DE191E" w:rsidRDefault="00F57815" w:rsidP="00B2407D">
      <w:pPr>
        <w:pStyle w:val="BodyText"/>
        <w:spacing w:after="0" w:line="360" w:lineRule="auto"/>
        <w:rPr>
          <w:rFonts w:ascii="Century Gothic" w:hAnsi="Century Gothic"/>
          <w:sz w:val="24"/>
          <w:szCs w:val="24"/>
        </w:rPr>
      </w:pPr>
      <w:r>
        <w:rPr>
          <w:rFonts w:ascii="Century Gothic" w:hAnsi="Century Gothic"/>
          <w:sz w:val="24"/>
          <w:szCs w:val="24"/>
        </w:rPr>
        <w:t xml:space="preserve">The clients who were able to find work </w:t>
      </w:r>
      <w:r w:rsidR="00DE191E">
        <w:rPr>
          <w:rFonts w:ascii="Century Gothic" w:hAnsi="Century Gothic"/>
          <w:sz w:val="24"/>
          <w:szCs w:val="24"/>
        </w:rPr>
        <w:t xml:space="preserve">once they had leave to remain or a residence card </w:t>
      </w:r>
      <w:r>
        <w:rPr>
          <w:rFonts w:ascii="Century Gothic" w:hAnsi="Century Gothic"/>
          <w:sz w:val="24"/>
          <w:szCs w:val="24"/>
        </w:rPr>
        <w:t xml:space="preserve">were on low wages and in need of benefits to top up their incomes.  One was working as a care assistant earning less than minimum wage as she </w:t>
      </w:r>
      <w:r w:rsidR="00DE191E">
        <w:rPr>
          <w:rFonts w:ascii="Century Gothic" w:hAnsi="Century Gothic"/>
          <w:sz w:val="24"/>
          <w:szCs w:val="24"/>
        </w:rPr>
        <w:t>was not being paid her travel time in between each job. Some of the more vulnerable clients were not working.</w:t>
      </w:r>
    </w:p>
    <w:p w:rsidR="00DE191E" w:rsidRDefault="00DE191E" w:rsidP="00B2407D">
      <w:pPr>
        <w:pStyle w:val="BodyText"/>
        <w:spacing w:after="0" w:line="360" w:lineRule="auto"/>
        <w:rPr>
          <w:rFonts w:ascii="Century Gothic" w:hAnsi="Century Gothic"/>
          <w:sz w:val="24"/>
          <w:szCs w:val="24"/>
        </w:rPr>
      </w:pPr>
    </w:p>
    <w:p w:rsidR="00F57815" w:rsidRDefault="00F57815" w:rsidP="00B2407D">
      <w:pPr>
        <w:pStyle w:val="BodyText"/>
        <w:spacing w:after="0" w:line="360" w:lineRule="auto"/>
        <w:rPr>
          <w:rFonts w:ascii="Century Gothic" w:hAnsi="Century Gothic"/>
          <w:sz w:val="24"/>
          <w:szCs w:val="24"/>
        </w:rPr>
      </w:pPr>
      <w:r>
        <w:rPr>
          <w:rFonts w:ascii="Century Gothic" w:hAnsi="Century Gothic"/>
          <w:sz w:val="24"/>
          <w:szCs w:val="24"/>
        </w:rPr>
        <w:t xml:space="preserve">Children whose mothers had been diagnosed with mental health problems or learning difficulties </w:t>
      </w:r>
      <w:r w:rsidR="00DE191E">
        <w:rPr>
          <w:rFonts w:ascii="Century Gothic" w:hAnsi="Century Gothic"/>
          <w:sz w:val="24"/>
          <w:szCs w:val="24"/>
        </w:rPr>
        <w:t>had, in 2 cases, mental health problems of their own, and the psychological evidence we had linked their conditions to the vulnerability of their parents.</w:t>
      </w:r>
    </w:p>
    <w:p w:rsidR="004803B3" w:rsidRDefault="004803B3" w:rsidP="00B2407D">
      <w:pPr>
        <w:pStyle w:val="BodyText"/>
        <w:spacing w:after="0" w:line="360" w:lineRule="auto"/>
        <w:rPr>
          <w:rFonts w:ascii="Century Gothic" w:hAnsi="Century Gothic"/>
          <w:sz w:val="24"/>
          <w:szCs w:val="24"/>
        </w:rPr>
      </w:pPr>
    </w:p>
    <w:p w:rsidR="004803B3" w:rsidRPr="004803B3" w:rsidRDefault="000F1C96" w:rsidP="00B2407D">
      <w:pPr>
        <w:pStyle w:val="BodyText"/>
        <w:spacing w:after="0" w:line="360" w:lineRule="auto"/>
        <w:rPr>
          <w:rFonts w:ascii="Century Gothic" w:hAnsi="Century Gothic"/>
          <w:i/>
          <w:sz w:val="24"/>
          <w:szCs w:val="24"/>
        </w:rPr>
      </w:pPr>
      <w:r>
        <w:rPr>
          <w:rFonts w:ascii="Century Gothic" w:hAnsi="Century Gothic"/>
          <w:i/>
          <w:sz w:val="24"/>
          <w:szCs w:val="24"/>
        </w:rPr>
        <w:t xml:space="preserve">4 </w:t>
      </w:r>
      <w:r w:rsidR="004803B3" w:rsidRPr="004803B3">
        <w:rPr>
          <w:rFonts w:ascii="Century Gothic" w:hAnsi="Century Gothic"/>
          <w:i/>
          <w:sz w:val="24"/>
          <w:szCs w:val="24"/>
        </w:rPr>
        <w:t xml:space="preserve">Case </w:t>
      </w:r>
      <w:proofErr w:type="gramStart"/>
      <w:r w:rsidR="004803B3" w:rsidRPr="004803B3">
        <w:rPr>
          <w:rFonts w:ascii="Century Gothic" w:hAnsi="Century Gothic"/>
          <w:i/>
          <w:sz w:val="24"/>
          <w:szCs w:val="24"/>
        </w:rPr>
        <w:t>study</w:t>
      </w:r>
      <w:proofErr w:type="gramEnd"/>
    </w:p>
    <w:p w:rsidR="0061124E" w:rsidRDefault="0061124E" w:rsidP="00B2407D">
      <w:pPr>
        <w:pStyle w:val="BodyText"/>
        <w:spacing w:after="0" w:line="360" w:lineRule="auto"/>
        <w:rPr>
          <w:rFonts w:ascii="Century Gothic" w:hAnsi="Century Gothic"/>
          <w:sz w:val="24"/>
          <w:szCs w:val="24"/>
        </w:rPr>
      </w:pPr>
    </w:p>
    <w:p w:rsidR="00E7608D" w:rsidRDefault="004803B3" w:rsidP="00B2407D">
      <w:pPr>
        <w:pStyle w:val="BodyText"/>
        <w:spacing w:after="0" w:line="360" w:lineRule="auto"/>
        <w:rPr>
          <w:rFonts w:ascii="Century Gothic" w:hAnsi="Century Gothic"/>
          <w:sz w:val="24"/>
          <w:szCs w:val="24"/>
        </w:rPr>
      </w:pPr>
      <w:r>
        <w:rPr>
          <w:rFonts w:ascii="Century Gothic" w:hAnsi="Century Gothic"/>
          <w:sz w:val="24"/>
          <w:szCs w:val="24"/>
        </w:rPr>
        <w:t xml:space="preserve">Ms N </w:t>
      </w:r>
      <w:r w:rsidR="00B605E7">
        <w:rPr>
          <w:rFonts w:ascii="Century Gothic" w:hAnsi="Century Gothic"/>
          <w:sz w:val="24"/>
          <w:szCs w:val="24"/>
        </w:rPr>
        <w:t xml:space="preserve">is a Ugandan national. She was orphaned as a child and had an abusive upbringing. She </w:t>
      </w:r>
      <w:r>
        <w:rPr>
          <w:rFonts w:ascii="Century Gothic" w:hAnsi="Century Gothic"/>
          <w:sz w:val="24"/>
          <w:szCs w:val="24"/>
        </w:rPr>
        <w:t>came to the UK as a fiancée</w:t>
      </w:r>
      <w:r w:rsidR="000F1C96">
        <w:rPr>
          <w:rFonts w:ascii="Century Gothic" w:hAnsi="Century Gothic"/>
          <w:sz w:val="24"/>
          <w:szCs w:val="24"/>
        </w:rPr>
        <w:t xml:space="preserve"> of a British citizen</w:t>
      </w:r>
      <w:r>
        <w:rPr>
          <w:rFonts w:ascii="Century Gothic" w:hAnsi="Century Gothic"/>
          <w:sz w:val="24"/>
          <w:szCs w:val="24"/>
        </w:rPr>
        <w:t xml:space="preserve">. Her partner died before the wedding took place and Ms N became an </w:t>
      </w:r>
      <w:proofErr w:type="spellStart"/>
      <w:r>
        <w:rPr>
          <w:rFonts w:ascii="Century Gothic" w:hAnsi="Century Gothic"/>
          <w:sz w:val="24"/>
          <w:szCs w:val="24"/>
        </w:rPr>
        <w:t>overstayer</w:t>
      </w:r>
      <w:proofErr w:type="spellEnd"/>
      <w:r>
        <w:rPr>
          <w:rFonts w:ascii="Century Gothic" w:hAnsi="Century Gothic"/>
          <w:sz w:val="24"/>
          <w:szCs w:val="24"/>
        </w:rPr>
        <w:t xml:space="preserve">. She had a casual relationship with a friend </w:t>
      </w:r>
      <w:r w:rsidR="00E7608D">
        <w:rPr>
          <w:rFonts w:ascii="Century Gothic" w:hAnsi="Century Gothic"/>
          <w:sz w:val="24"/>
          <w:szCs w:val="24"/>
        </w:rPr>
        <w:t>as a result of which she</w:t>
      </w:r>
      <w:r>
        <w:rPr>
          <w:rFonts w:ascii="Century Gothic" w:hAnsi="Century Gothic"/>
          <w:sz w:val="24"/>
          <w:szCs w:val="24"/>
        </w:rPr>
        <w:t xml:space="preserve"> became pregnant. She </w:t>
      </w:r>
      <w:r w:rsidR="00B605E7">
        <w:rPr>
          <w:rFonts w:ascii="Century Gothic" w:hAnsi="Century Gothic"/>
          <w:sz w:val="24"/>
          <w:szCs w:val="24"/>
        </w:rPr>
        <w:t xml:space="preserve">stayed with a friend until she was made homeless and she and her then six month old </w:t>
      </w:r>
      <w:r>
        <w:rPr>
          <w:rFonts w:ascii="Century Gothic" w:hAnsi="Century Gothic"/>
          <w:sz w:val="24"/>
          <w:szCs w:val="24"/>
        </w:rPr>
        <w:t xml:space="preserve">baby, </w:t>
      </w:r>
      <w:r w:rsidR="00B605E7">
        <w:rPr>
          <w:rFonts w:ascii="Century Gothic" w:hAnsi="Century Gothic"/>
          <w:sz w:val="24"/>
          <w:szCs w:val="24"/>
        </w:rPr>
        <w:t>(</w:t>
      </w:r>
      <w:r>
        <w:rPr>
          <w:rFonts w:ascii="Century Gothic" w:hAnsi="Century Gothic"/>
          <w:sz w:val="24"/>
          <w:szCs w:val="24"/>
        </w:rPr>
        <w:t>who is a British citizen,</w:t>
      </w:r>
      <w:r w:rsidR="00B605E7">
        <w:rPr>
          <w:rFonts w:ascii="Century Gothic" w:hAnsi="Century Gothic"/>
          <w:sz w:val="24"/>
          <w:szCs w:val="24"/>
        </w:rPr>
        <w:t>)</w:t>
      </w:r>
      <w:r>
        <w:rPr>
          <w:rFonts w:ascii="Century Gothic" w:hAnsi="Century Gothic"/>
          <w:sz w:val="24"/>
          <w:szCs w:val="24"/>
        </w:rPr>
        <w:t xml:space="preserve"> spent </w:t>
      </w:r>
      <w:r w:rsidR="00B605E7">
        <w:rPr>
          <w:rFonts w:ascii="Century Gothic" w:hAnsi="Century Gothic"/>
          <w:sz w:val="24"/>
          <w:szCs w:val="24"/>
        </w:rPr>
        <w:t>three</w:t>
      </w:r>
      <w:r>
        <w:rPr>
          <w:rFonts w:ascii="Century Gothic" w:hAnsi="Century Gothic"/>
          <w:sz w:val="24"/>
          <w:szCs w:val="24"/>
        </w:rPr>
        <w:t xml:space="preserve"> nights sleeping on night buses, before </w:t>
      </w:r>
      <w:r w:rsidR="00B605E7">
        <w:rPr>
          <w:rFonts w:ascii="Century Gothic" w:hAnsi="Century Gothic"/>
          <w:sz w:val="24"/>
          <w:szCs w:val="24"/>
        </w:rPr>
        <w:t xml:space="preserve">the Red Cross found her a community care solicitor. After correspondence from the solicitor, </w:t>
      </w:r>
      <w:r>
        <w:rPr>
          <w:rFonts w:ascii="Century Gothic" w:hAnsi="Century Gothic"/>
          <w:sz w:val="24"/>
          <w:szCs w:val="24"/>
        </w:rPr>
        <w:t xml:space="preserve">social services agreed to provide </w:t>
      </w:r>
      <w:r w:rsidR="00B605E7">
        <w:rPr>
          <w:rFonts w:ascii="Century Gothic" w:hAnsi="Century Gothic"/>
          <w:sz w:val="24"/>
          <w:szCs w:val="24"/>
        </w:rPr>
        <w:t xml:space="preserve">mother and child with accommodation and extremely limited financial </w:t>
      </w:r>
      <w:r>
        <w:rPr>
          <w:rFonts w:ascii="Century Gothic" w:hAnsi="Century Gothic"/>
          <w:sz w:val="24"/>
          <w:szCs w:val="24"/>
        </w:rPr>
        <w:t xml:space="preserve">support under s17 of the Children Act. </w:t>
      </w:r>
      <w:r w:rsidR="00B605E7">
        <w:rPr>
          <w:rFonts w:ascii="Century Gothic" w:hAnsi="Century Gothic"/>
          <w:sz w:val="24"/>
          <w:szCs w:val="24"/>
        </w:rPr>
        <w:t xml:space="preserve">She was regularly going without food due to the </w:t>
      </w:r>
      <w:r w:rsidR="00E7608D">
        <w:rPr>
          <w:rFonts w:ascii="Century Gothic" w:hAnsi="Century Gothic"/>
          <w:sz w:val="24"/>
          <w:szCs w:val="24"/>
        </w:rPr>
        <w:t xml:space="preserve">low level of financial </w:t>
      </w:r>
      <w:r w:rsidR="00B605E7">
        <w:rPr>
          <w:rFonts w:ascii="Century Gothic" w:hAnsi="Century Gothic"/>
          <w:sz w:val="24"/>
          <w:szCs w:val="24"/>
        </w:rPr>
        <w:t xml:space="preserve">support. </w:t>
      </w:r>
    </w:p>
    <w:p w:rsidR="00E7608D" w:rsidRDefault="00E7608D" w:rsidP="00B2407D">
      <w:pPr>
        <w:pStyle w:val="BodyText"/>
        <w:spacing w:after="0" w:line="360" w:lineRule="auto"/>
        <w:rPr>
          <w:rFonts w:ascii="Century Gothic" w:hAnsi="Century Gothic"/>
          <w:sz w:val="24"/>
          <w:szCs w:val="24"/>
        </w:rPr>
      </w:pPr>
    </w:p>
    <w:p w:rsidR="0061124E" w:rsidRDefault="00B605E7" w:rsidP="00B2407D">
      <w:pPr>
        <w:pStyle w:val="BodyText"/>
        <w:spacing w:after="0" w:line="360" w:lineRule="auto"/>
        <w:rPr>
          <w:rFonts w:ascii="Century Gothic" w:hAnsi="Century Gothic"/>
          <w:sz w:val="24"/>
          <w:szCs w:val="24"/>
        </w:rPr>
      </w:pPr>
      <w:r>
        <w:rPr>
          <w:rFonts w:ascii="Century Gothic" w:hAnsi="Century Gothic"/>
          <w:sz w:val="24"/>
          <w:szCs w:val="24"/>
        </w:rPr>
        <w:lastRenderedPageBreak/>
        <w:t xml:space="preserve">Her son was diagnosed as severely autistic. </w:t>
      </w:r>
    </w:p>
    <w:p w:rsidR="0061124E" w:rsidRDefault="0061124E" w:rsidP="00B2407D">
      <w:pPr>
        <w:pStyle w:val="BodyText"/>
        <w:spacing w:after="0" w:line="360" w:lineRule="auto"/>
        <w:rPr>
          <w:rFonts w:ascii="Century Gothic" w:hAnsi="Century Gothic"/>
          <w:sz w:val="24"/>
          <w:szCs w:val="24"/>
        </w:rPr>
      </w:pPr>
    </w:p>
    <w:p w:rsidR="0061124E" w:rsidRDefault="00B605E7" w:rsidP="00B2407D">
      <w:pPr>
        <w:pStyle w:val="BodyText"/>
        <w:spacing w:after="0" w:line="360" w:lineRule="auto"/>
        <w:rPr>
          <w:rFonts w:ascii="Century Gothic" w:hAnsi="Century Gothic"/>
          <w:sz w:val="24"/>
          <w:szCs w:val="24"/>
        </w:rPr>
      </w:pPr>
      <w:r>
        <w:rPr>
          <w:rFonts w:ascii="Century Gothic" w:hAnsi="Century Gothic"/>
          <w:sz w:val="24"/>
          <w:szCs w:val="24"/>
        </w:rPr>
        <w:t xml:space="preserve">In 2011 an application was made for leave to remain under Article 8 with representations seeking a fee waiver; it was returned </w:t>
      </w:r>
      <w:r w:rsidR="0061124E">
        <w:rPr>
          <w:rFonts w:ascii="Century Gothic" w:hAnsi="Century Gothic"/>
          <w:sz w:val="24"/>
          <w:szCs w:val="24"/>
        </w:rPr>
        <w:t xml:space="preserve">as invalid </w:t>
      </w:r>
      <w:r>
        <w:rPr>
          <w:rFonts w:ascii="Century Gothic" w:hAnsi="Century Gothic"/>
          <w:sz w:val="24"/>
          <w:szCs w:val="24"/>
        </w:rPr>
        <w:t>for failure to pay a fee. A subsequent application was made for a derivative residence card. This was refused after 2 year</w:t>
      </w:r>
      <w:r w:rsidR="00E7608D">
        <w:rPr>
          <w:rFonts w:ascii="Century Gothic" w:hAnsi="Century Gothic"/>
          <w:sz w:val="24"/>
          <w:szCs w:val="24"/>
        </w:rPr>
        <w:t>s</w:t>
      </w:r>
      <w:r w:rsidR="0061124E">
        <w:rPr>
          <w:rFonts w:ascii="Century Gothic" w:hAnsi="Century Gothic"/>
          <w:sz w:val="24"/>
          <w:szCs w:val="24"/>
        </w:rPr>
        <w:t xml:space="preserve">. During this </w:t>
      </w:r>
      <w:r w:rsidR="000F1C96">
        <w:rPr>
          <w:rFonts w:ascii="Century Gothic" w:hAnsi="Century Gothic"/>
          <w:sz w:val="24"/>
          <w:szCs w:val="24"/>
        </w:rPr>
        <w:t xml:space="preserve">period the </w:t>
      </w:r>
      <w:r w:rsidR="00DE191E">
        <w:rPr>
          <w:rFonts w:ascii="Century Gothic" w:hAnsi="Century Gothic"/>
          <w:sz w:val="24"/>
          <w:szCs w:val="24"/>
        </w:rPr>
        <w:t>amount</w:t>
      </w:r>
      <w:r w:rsidR="000F1C96">
        <w:rPr>
          <w:rFonts w:ascii="Century Gothic" w:hAnsi="Century Gothic"/>
          <w:sz w:val="24"/>
          <w:szCs w:val="24"/>
        </w:rPr>
        <w:t xml:space="preserve"> of financial support provided </w:t>
      </w:r>
      <w:r w:rsidR="00E7608D">
        <w:rPr>
          <w:rFonts w:ascii="Century Gothic" w:hAnsi="Century Gothic"/>
          <w:sz w:val="24"/>
          <w:szCs w:val="24"/>
        </w:rPr>
        <w:t xml:space="preserve">by the local authority </w:t>
      </w:r>
      <w:r w:rsidR="000F1C96">
        <w:rPr>
          <w:rFonts w:ascii="Century Gothic" w:hAnsi="Century Gothic"/>
          <w:sz w:val="24"/>
          <w:szCs w:val="24"/>
        </w:rPr>
        <w:t>was so low that</w:t>
      </w:r>
      <w:r w:rsidR="0061124E">
        <w:rPr>
          <w:rFonts w:ascii="Century Gothic" w:hAnsi="Century Gothic"/>
          <w:sz w:val="24"/>
          <w:szCs w:val="24"/>
        </w:rPr>
        <w:t xml:space="preserve"> the client spent several weeks living on bread and tea alone</w:t>
      </w:r>
      <w:r w:rsidR="000F1C96">
        <w:rPr>
          <w:rFonts w:ascii="Century Gothic" w:hAnsi="Century Gothic"/>
          <w:sz w:val="24"/>
          <w:szCs w:val="24"/>
        </w:rPr>
        <w:t xml:space="preserve">, </w:t>
      </w:r>
      <w:r w:rsidR="00E7608D">
        <w:rPr>
          <w:rFonts w:ascii="Century Gothic" w:hAnsi="Century Gothic"/>
          <w:sz w:val="24"/>
          <w:szCs w:val="24"/>
        </w:rPr>
        <w:t>so she could feed her child</w:t>
      </w:r>
      <w:r w:rsidR="00DE191E">
        <w:rPr>
          <w:rFonts w:ascii="Century Gothic" w:hAnsi="Century Gothic"/>
          <w:sz w:val="24"/>
          <w:szCs w:val="24"/>
        </w:rPr>
        <w:t xml:space="preserve">, and she did not have money to </w:t>
      </w:r>
      <w:r w:rsidR="000F1C96">
        <w:rPr>
          <w:rFonts w:ascii="Century Gothic" w:hAnsi="Century Gothic"/>
          <w:sz w:val="24"/>
          <w:szCs w:val="24"/>
        </w:rPr>
        <w:t>buy nappies for her child. S</w:t>
      </w:r>
      <w:r w:rsidR="0061124E">
        <w:rPr>
          <w:rFonts w:ascii="Century Gothic" w:hAnsi="Century Gothic"/>
          <w:sz w:val="24"/>
          <w:szCs w:val="24"/>
        </w:rPr>
        <w:t xml:space="preserve">ocial services </w:t>
      </w:r>
      <w:r w:rsidR="00DE191E">
        <w:rPr>
          <w:rFonts w:ascii="Century Gothic" w:hAnsi="Century Gothic"/>
          <w:sz w:val="24"/>
          <w:szCs w:val="24"/>
        </w:rPr>
        <w:t xml:space="preserve">had </w:t>
      </w:r>
      <w:r w:rsidR="000F1C96">
        <w:rPr>
          <w:rFonts w:ascii="Century Gothic" w:hAnsi="Century Gothic"/>
          <w:sz w:val="24"/>
          <w:szCs w:val="24"/>
        </w:rPr>
        <w:t>also</w:t>
      </w:r>
      <w:r w:rsidR="0061124E">
        <w:rPr>
          <w:rFonts w:ascii="Century Gothic" w:hAnsi="Century Gothic"/>
          <w:sz w:val="24"/>
          <w:szCs w:val="24"/>
        </w:rPr>
        <w:t xml:space="preserve"> refused to pay for a buggy and essential items of clothing for the child. A psychologist</w:t>
      </w:r>
      <w:r w:rsidR="000F1C96">
        <w:rPr>
          <w:rFonts w:ascii="Century Gothic" w:hAnsi="Century Gothic"/>
          <w:sz w:val="24"/>
          <w:szCs w:val="24"/>
        </w:rPr>
        <w:t>’s</w:t>
      </w:r>
      <w:r w:rsidR="0061124E">
        <w:rPr>
          <w:rFonts w:ascii="Century Gothic" w:hAnsi="Century Gothic"/>
          <w:sz w:val="24"/>
          <w:szCs w:val="24"/>
        </w:rPr>
        <w:t xml:space="preserve"> report obtained </w:t>
      </w:r>
      <w:r w:rsidR="00DA25F8">
        <w:rPr>
          <w:rFonts w:ascii="Century Gothic" w:hAnsi="Century Gothic"/>
          <w:sz w:val="24"/>
          <w:szCs w:val="24"/>
        </w:rPr>
        <w:t xml:space="preserve">for the purpose of her immigration </w:t>
      </w:r>
      <w:r w:rsidR="0061124E">
        <w:rPr>
          <w:rFonts w:ascii="Century Gothic" w:hAnsi="Century Gothic"/>
          <w:sz w:val="24"/>
          <w:szCs w:val="24"/>
        </w:rPr>
        <w:t xml:space="preserve">appeal </w:t>
      </w:r>
      <w:proofErr w:type="gramStart"/>
      <w:r w:rsidR="0061124E">
        <w:rPr>
          <w:rFonts w:ascii="Century Gothic" w:hAnsi="Century Gothic"/>
          <w:sz w:val="24"/>
          <w:szCs w:val="24"/>
        </w:rPr>
        <w:t xml:space="preserve">preparation </w:t>
      </w:r>
      <w:r w:rsidR="000F1C96">
        <w:rPr>
          <w:rFonts w:ascii="Century Gothic" w:hAnsi="Century Gothic"/>
          <w:sz w:val="24"/>
          <w:szCs w:val="24"/>
        </w:rPr>
        <w:t xml:space="preserve"> diagnosed</w:t>
      </w:r>
      <w:proofErr w:type="gramEnd"/>
      <w:r w:rsidR="000F1C96">
        <w:rPr>
          <w:rFonts w:ascii="Century Gothic" w:hAnsi="Century Gothic"/>
          <w:sz w:val="24"/>
          <w:szCs w:val="24"/>
        </w:rPr>
        <w:t xml:space="preserve"> </w:t>
      </w:r>
      <w:r w:rsidR="00DA25F8">
        <w:rPr>
          <w:rFonts w:ascii="Century Gothic" w:hAnsi="Century Gothic"/>
          <w:sz w:val="24"/>
          <w:szCs w:val="24"/>
        </w:rPr>
        <w:t xml:space="preserve">the client as </w:t>
      </w:r>
      <w:r w:rsidR="0061124E">
        <w:rPr>
          <w:rFonts w:ascii="Century Gothic" w:hAnsi="Century Gothic"/>
          <w:sz w:val="24"/>
          <w:szCs w:val="24"/>
        </w:rPr>
        <w:t>suffering from severe depression, severe anxiety and suicidal ideation</w:t>
      </w:r>
      <w:r w:rsidR="00DA25F8">
        <w:rPr>
          <w:rFonts w:ascii="Century Gothic" w:hAnsi="Century Gothic"/>
          <w:sz w:val="24"/>
          <w:szCs w:val="24"/>
        </w:rPr>
        <w:t xml:space="preserve">, and found that she was very vulnerable </w:t>
      </w:r>
      <w:r w:rsidR="000F1C96">
        <w:rPr>
          <w:rFonts w:ascii="Century Gothic" w:hAnsi="Century Gothic"/>
          <w:sz w:val="24"/>
          <w:szCs w:val="24"/>
        </w:rPr>
        <w:t xml:space="preserve"> as a result of her circumstances</w:t>
      </w:r>
      <w:r w:rsidR="0061124E">
        <w:rPr>
          <w:rFonts w:ascii="Century Gothic" w:hAnsi="Century Gothic"/>
          <w:sz w:val="24"/>
          <w:szCs w:val="24"/>
        </w:rPr>
        <w:t xml:space="preserve">. </w:t>
      </w:r>
    </w:p>
    <w:p w:rsidR="0061124E" w:rsidRDefault="0061124E" w:rsidP="00B2407D">
      <w:pPr>
        <w:pStyle w:val="BodyText"/>
        <w:spacing w:after="0" w:line="360" w:lineRule="auto"/>
        <w:rPr>
          <w:rFonts w:ascii="Century Gothic" w:hAnsi="Century Gothic"/>
          <w:sz w:val="24"/>
          <w:szCs w:val="24"/>
        </w:rPr>
      </w:pPr>
    </w:p>
    <w:p w:rsidR="004803B3" w:rsidRPr="0061124E" w:rsidRDefault="0061124E" w:rsidP="00B2407D">
      <w:pPr>
        <w:pStyle w:val="BodyText"/>
        <w:spacing w:after="0" w:line="360" w:lineRule="auto"/>
        <w:rPr>
          <w:rFonts w:ascii="Century Gothic" w:hAnsi="Century Gothic"/>
          <w:sz w:val="24"/>
          <w:szCs w:val="24"/>
        </w:rPr>
      </w:pPr>
      <w:r>
        <w:rPr>
          <w:rFonts w:ascii="Century Gothic" w:hAnsi="Century Gothic"/>
          <w:sz w:val="24"/>
          <w:szCs w:val="24"/>
        </w:rPr>
        <w:t xml:space="preserve">Her appeal was allowed by the FTT under the </w:t>
      </w:r>
      <w:r w:rsidR="00DA25F8">
        <w:rPr>
          <w:rFonts w:ascii="Century Gothic" w:hAnsi="Century Gothic"/>
          <w:sz w:val="24"/>
          <w:szCs w:val="24"/>
        </w:rPr>
        <w:t xml:space="preserve">EEA </w:t>
      </w:r>
      <w:r>
        <w:rPr>
          <w:rFonts w:ascii="Century Gothic" w:hAnsi="Century Gothic"/>
          <w:sz w:val="24"/>
          <w:szCs w:val="24"/>
        </w:rPr>
        <w:t>Regulations, but no findings were made on the Article 8 grounds. T</w:t>
      </w:r>
      <w:r w:rsidRPr="0061124E">
        <w:rPr>
          <w:rFonts w:ascii="Century Gothic" w:hAnsi="Century Gothic"/>
        </w:rPr>
        <w:t xml:space="preserve">he Judge </w:t>
      </w:r>
      <w:r>
        <w:rPr>
          <w:rFonts w:ascii="Century Gothic" w:hAnsi="Century Gothic"/>
        </w:rPr>
        <w:t>found that there was</w:t>
      </w:r>
      <w:r w:rsidRPr="0061124E">
        <w:rPr>
          <w:rFonts w:ascii="Century Gothic" w:hAnsi="Century Gothic"/>
        </w:rPr>
        <w:t xml:space="preserve"> a genuine and substantive parental relationship with </w:t>
      </w:r>
      <w:r>
        <w:rPr>
          <w:rFonts w:ascii="Century Gothic" w:hAnsi="Century Gothic"/>
        </w:rPr>
        <w:t xml:space="preserve">the child, and </w:t>
      </w:r>
      <w:r w:rsidRPr="0061124E">
        <w:rPr>
          <w:rFonts w:ascii="Century Gothic" w:hAnsi="Century Gothic"/>
        </w:rPr>
        <w:t>that his removal from the United Kingdom would not be in his best interests</w:t>
      </w:r>
      <w:r>
        <w:rPr>
          <w:rFonts w:ascii="Century Gothic" w:hAnsi="Century Gothic"/>
        </w:rPr>
        <w:t xml:space="preserve">, but did not make an explicit finding as to Article 8. Permission to appeal to the Upper Tribunal was granted, but the hearing was then stayed on the day pending the outcome of another case. We therefore made an (unfunded) application </w:t>
      </w:r>
      <w:r w:rsidRPr="0061124E">
        <w:rPr>
          <w:rFonts w:ascii="Century Gothic" w:hAnsi="Century Gothic"/>
          <w:sz w:val="24"/>
          <w:szCs w:val="24"/>
        </w:rPr>
        <w:t xml:space="preserve">for </w:t>
      </w:r>
      <w:r w:rsidR="00517137">
        <w:rPr>
          <w:rFonts w:ascii="Century Gothic" w:hAnsi="Century Gothic"/>
          <w:sz w:val="24"/>
          <w:szCs w:val="24"/>
        </w:rPr>
        <w:t xml:space="preserve">indefinite </w:t>
      </w:r>
      <w:r w:rsidRPr="0061124E">
        <w:rPr>
          <w:rFonts w:ascii="Century Gothic" w:hAnsi="Century Gothic"/>
          <w:sz w:val="24"/>
          <w:szCs w:val="24"/>
        </w:rPr>
        <w:t>leave to remain</w:t>
      </w:r>
      <w:r w:rsidR="00517137">
        <w:rPr>
          <w:rFonts w:ascii="Century Gothic" w:hAnsi="Century Gothic"/>
          <w:sz w:val="24"/>
          <w:szCs w:val="24"/>
        </w:rPr>
        <w:t xml:space="preserve">; she has just been granted 30 months leave to remain </w:t>
      </w:r>
      <w:r w:rsidRPr="0061124E">
        <w:rPr>
          <w:rFonts w:ascii="Century Gothic" w:hAnsi="Century Gothic"/>
          <w:sz w:val="24"/>
          <w:szCs w:val="24"/>
        </w:rPr>
        <w:t>with access to public funds</w:t>
      </w:r>
      <w:r w:rsidR="00517137">
        <w:rPr>
          <w:rFonts w:ascii="Century Gothic" w:hAnsi="Century Gothic"/>
          <w:sz w:val="24"/>
          <w:szCs w:val="24"/>
        </w:rPr>
        <w:t xml:space="preserve"> and we are considering whether </w:t>
      </w:r>
      <w:r w:rsidR="00DE191E">
        <w:rPr>
          <w:rFonts w:ascii="Century Gothic" w:hAnsi="Century Gothic"/>
          <w:sz w:val="24"/>
          <w:szCs w:val="24"/>
        </w:rPr>
        <w:t xml:space="preserve">we have sufficient evidence </w:t>
      </w:r>
      <w:r w:rsidR="00517137">
        <w:rPr>
          <w:rFonts w:ascii="Century Gothic" w:hAnsi="Century Gothic"/>
          <w:sz w:val="24"/>
          <w:szCs w:val="24"/>
        </w:rPr>
        <w:t xml:space="preserve">to </w:t>
      </w:r>
      <w:r w:rsidR="00DE191E">
        <w:rPr>
          <w:rFonts w:ascii="Century Gothic" w:hAnsi="Century Gothic"/>
          <w:sz w:val="24"/>
          <w:szCs w:val="24"/>
        </w:rPr>
        <w:t xml:space="preserve">seek </w:t>
      </w:r>
      <w:r w:rsidR="00517137">
        <w:rPr>
          <w:rFonts w:ascii="Century Gothic" w:hAnsi="Century Gothic"/>
          <w:sz w:val="24"/>
          <w:szCs w:val="24"/>
        </w:rPr>
        <w:t>to challenge the grant of limited rather than indefinite leave to remain</w:t>
      </w:r>
      <w:r w:rsidRPr="0061124E">
        <w:rPr>
          <w:rFonts w:ascii="Century Gothic" w:hAnsi="Century Gothic"/>
          <w:sz w:val="24"/>
          <w:szCs w:val="24"/>
        </w:rPr>
        <w:t>.</w:t>
      </w:r>
    </w:p>
    <w:p w:rsidR="00A936DD" w:rsidRDefault="00A936DD" w:rsidP="00B2407D">
      <w:pPr>
        <w:pStyle w:val="BodyText"/>
        <w:spacing w:after="0" w:line="360" w:lineRule="auto"/>
        <w:rPr>
          <w:rFonts w:ascii="Century Gothic" w:hAnsi="Century Gothic"/>
          <w:sz w:val="24"/>
          <w:szCs w:val="24"/>
        </w:rPr>
      </w:pPr>
    </w:p>
    <w:p w:rsidR="00A936DD" w:rsidRPr="00A936DD" w:rsidRDefault="00A936DD" w:rsidP="000F1C96">
      <w:pPr>
        <w:pStyle w:val="BodyText"/>
        <w:numPr>
          <w:ilvl w:val="0"/>
          <w:numId w:val="33"/>
        </w:numPr>
        <w:spacing w:after="0" w:line="360" w:lineRule="auto"/>
        <w:rPr>
          <w:rFonts w:ascii="Century Gothic" w:hAnsi="Century Gothic"/>
          <w:i/>
          <w:sz w:val="24"/>
          <w:szCs w:val="24"/>
        </w:rPr>
      </w:pPr>
      <w:r w:rsidRPr="00A936DD">
        <w:rPr>
          <w:rFonts w:ascii="Century Gothic" w:hAnsi="Century Gothic"/>
          <w:i/>
          <w:sz w:val="24"/>
          <w:szCs w:val="24"/>
        </w:rPr>
        <w:t>Conclusion</w:t>
      </w:r>
    </w:p>
    <w:p w:rsidR="000F1C96" w:rsidRDefault="000F1C96" w:rsidP="00B2407D">
      <w:pPr>
        <w:pStyle w:val="BodyText"/>
        <w:spacing w:after="0" w:line="360" w:lineRule="auto"/>
        <w:rPr>
          <w:rFonts w:ascii="Century Gothic" w:hAnsi="Century Gothic"/>
          <w:sz w:val="24"/>
          <w:szCs w:val="24"/>
        </w:rPr>
      </w:pPr>
    </w:p>
    <w:p w:rsidR="001076B3" w:rsidRDefault="00517137" w:rsidP="0023083B">
      <w:pPr>
        <w:pStyle w:val="BodyText"/>
        <w:spacing w:after="0" w:line="360" w:lineRule="auto"/>
        <w:rPr>
          <w:rFonts w:ascii="Century Gothic" w:hAnsi="Century Gothic"/>
          <w:sz w:val="24"/>
          <w:szCs w:val="24"/>
        </w:rPr>
      </w:pPr>
      <w:r>
        <w:rPr>
          <w:rFonts w:ascii="Century Gothic" w:hAnsi="Century Gothic"/>
          <w:sz w:val="24"/>
          <w:szCs w:val="24"/>
        </w:rPr>
        <w:t xml:space="preserve">The Law Centre clients applying under the </w:t>
      </w:r>
      <w:r w:rsidR="00D3624E">
        <w:rPr>
          <w:rFonts w:ascii="Century Gothic" w:hAnsi="Century Gothic"/>
          <w:sz w:val="24"/>
          <w:szCs w:val="24"/>
        </w:rPr>
        <w:t xml:space="preserve">two </w:t>
      </w:r>
      <w:r>
        <w:rPr>
          <w:rFonts w:ascii="Century Gothic" w:hAnsi="Century Gothic"/>
          <w:sz w:val="24"/>
          <w:szCs w:val="24"/>
        </w:rPr>
        <w:t xml:space="preserve">schemes are some of the most vulnerable members of society as are their children; being </w:t>
      </w:r>
      <w:r>
        <w:rPr>
          <w:rFonts w:ascii="Century Gothic" w:hAnsi="Century Gothic"/>
          <w:sz w:val="24"/>
          <w:szCs w:val="24"/>
        </w:rPr>
        <w:lastRenderedPageBreak/>
        <w:t>issued with a derivative residence card or leave to remain with no recourse to public funds does not improve their lives</w:t>
      </w:r>
      <w:r w:rsidR="00D3624E">
        <w:rPr>
          <w:rFonts w:ascii="Century Gothic" w:hAnsi="Century Gothic"/>
          <w:sz w:val="24"/>
          <w:szCs w:val="24"/>
        </w:rPr>
        <w:t xml:space="preserve"> for the most part</w:t>
      </w:r>
      <w:r>
        <w:rPr>
          <w:rFonts w:ascii="Century Gothic" w:hAnsi="Century Gothic"/>
          <w:sz w:val="24"/>
          <w:szCs w:val="24"/>
        </w:rPr>
        <w:t>. Application</w:t>
      </w:r>
      <w:r w:rsidR="00D3624E">
        <w:rPr>
          <w:rFonts w:ascii="Century Gothic" w:hAnsi="Century Gothic"/>
          <w:sz w:val="24"/>
          <w:szCs w:val="24"/>
        </w:rPr>
        <w:t>s</w:t>
      </w:r>
      <w:r>
        <w:rPr>
          <w:rFonts w:ascii="Century Gothic" w:hAnsi="Century Gothic"/>
          <w:sz w:val="24"/>
          <w:szCs w:val="24"/>
        </w:rPr>
        <w:t xml:space="preserve"> for a change in the no recourse condition </w:t>
      </w:r>
      <w:r w:rsidR="00D3624E">
        <w:rPr>
          <w:rFonts w:ascii="Century Gothic" w:hAnsi="Century Gothic"/>
          <w:sz w:val="24"/>
          <w:szCs w:val="24"/>
        </w:rPr>
        <w:t>counts as</w:t>
      </w:r>
      <w:r>
        <w:rPr>
          <w:rFonts w:ascii="Century Gothic" w:hAnsi="Century Gothic"/>
          <w:sz w:val="24"/>
          <w:szCs w:val="24"/>
        </w:rPr>
        <w:t xml:space="preserve"> immigration work but </w:t>
      </w:r>
      <w:r w:rsidR="00D3624E">
        <w:rPr>
          <w:rFonts w:ascii="Century Gothic" w:hAnsi="Century Gothic"/>
          <w:sz w:val="24"/>
          <w:szCs w:val="24"/>
        </w:rPr>
        <w:t xml:space="preserve">it </w:t>
      </w:r>
      <w:r>
        <w:rPr>
          <w:rFonts w:ascii="Century Gothic" w:hAnsi="Century Gothic"/>
          <w:sz w:val="24"/>
          <w:szCs w:val="24"/>
        </w:rPr>
        <w:t>is unfunded</w:t>
      </w:r>
      <w:r w:rsidR="00D3624E">
        <w:rPr>
          <w:rFonts w:ascii="Century Gothic" w:hAnsi="Century Gothic"/>
          <w:sz w:val="24"/>
          <w:szCs w:val="24"/>
        </w:rPr>
        <w:t xml:space="preserve"> and the public funds policy is complex with a large amount of evidence required. </w:t>
      </w:r>
      <w:r w:rsidR="000F1C96">
        <w:rPr>
          <w:rFonts w:ascii="Century Gothic" w:hAnsi="Century Gothic"/>
          <w:sz w:val="24"/>
          <w:szCs w:val="24"/>
        </w:rPr>
        <w:t>In addition the process is lengthy</w:t>
      </w:r>
      <w:r w:rsidR="00CC1766">
        <w:rPr>
          <w:rFonts w:ascii="Century Gothic" w:hAnsi="Century Gothic"/>
          <w:sz w:val="24"/>
          <w:szCs w:val="24"/>
        </w:rPr>
        <w:t>; it can easily take four months or more</w:t>
      </w:r>
      <w:r w:rsidR="00254F15">
        <w:rPr>
          <w:rFonts w:ascii="Century Gothic" w:hAnsi="Century Gothic"/>
          <w:sz w:val="24"/>
          <w:szCs w:val="24"/>
        </w:rPr>
        <w:t xml:space="preserve"> from </w:t>
      </w:r>
      <w:r w:rsidR="007971EE">
        <w:rPr>
          <w:rFonts w:ascii="Century Gothic" w:hAnsi="Century Gothic"/>
          <w:sz w:val="24"/>
          <w:szCs w:val="24"/>
        </w:rPr>
        <w:t xml:space="preserve">an </w:t>
      </w:r>
      <w:r w:rsidR="00254F15">
        <w:rPr>
          <w:rFonts w:ascii="Century Gothic" w:hAnsi="Century Gothic"/>
          <w:sz w:val="24"/>
          <w:szCs w:val="24"/>
        </w:rPr>
        <w:t xml:space="preserve">application seeking removal of </w:t>
      </w:r>
      <w:r w:rsidR="007971EE">
        <w:rPr>
          <w:rFonts w:ascii="Century Gothic" w:hAnsi="Century Gothic"/>
          <w:sz w:val="24"/>
          <w:szCs w:val="24"/>
        </w:rPr>
        <w:t xml:space="preserve">a </w:t>
      </w:r>
      <w:r w:rsidR="00254F15">
        <w:rPr>
          <w:rFonts w:ascii="Century Gothic" w:hAnsi="Century Gothic"/>
          <w:sz w:val="24"/>
          <w:szCs w:val="24"/>
        </w:rPr>
        <w:t>no recourse condition to the grant of access to public funds.</w:t>
      </w:r>
      <w:r w:rsidR="00CC1766">
        <w:rPr>
          <w:rFonts w:ascii="Century Gothic" w:hAnsi="Century Gothic"/>
          <w:sz w:val="24"/>
          <w:szCs w:val="24"/>
        </w:rPr>
        <w:t xml:space="preserve"> </w:t>
      </w:r>
      <w:r w:rsidR="00D3624E">
        <w:rPr>
          <w:rFonts w:ascii="Century Gothic" w:hAnsi="Century Gothic"/>
          <w:sz w:val="24"/>
          <w:szCs w:val="24"/>
        </w:rPr>
        <w:t>Every stage of an application is</w:t>
      </w:r>
      <w:r w:rsidR="000F1C96">
        <w:rPr>
          <w:rFonts w:ascii="Century Gothic" w:hAnsi="Century Gothic"/>
          <w:sz w:val="24"/>
          <w:szCs w:val="24"/>
        </w:rPr>
        <w:t xml:space="preserve">, for this client group, </w:t>
      </w:r>
      <w:r w:rsidR="00D3624E">
        <w:rPr>
          <w:rFonts w:ascii="Century Gothic" w:hAnsi="Century Gothic"/>
          <w:sz w:val="24"/>
          <w:szCs w:val="24"/>
        </w:rPr>
        <w:t xml:space="preserve">complex and </w:t>
      </w:r>
      <w:r w:rsidR="000F1C96">
        <w:rPr>
          <w:rFonts w:ascii="Century Gothic" w:hAnsi="Century Gothic"/>
          <w:sz w:val="24"/>
          <w:szCs w:val="24"/>
        </w:rPr>
        <w:t xml:space="preserve">presents significant barriers to those without legal representation. </w:t>
      </w:r>
      <w:r w:rsidR="001076B3">
        <w:rPr>
          <w:rFonts w:ascii="Century Gothic" w:hAnsi="Century Gothic"/>
          <w:sz w:val="24"/>
          <w:szCs w:val="24"/>
        </w:rPr>
        <w:t xml:space="preserve">This client group does not have </w:t>
      </w:r>
      <w:r w:rsidR="007971EE">
        <w:rPr>
          <w:rFonts w:ascii="Century Gothic" w:hAnsi="Century Gothic"/>
          <w:sz w:val="24"/>
          <w:szCs w:val="24"/>
        </w:rPr>
        <w:t>great</w:t>
      </w:r>
      <w:r w:rsidR="001076B3">
        <w:rPr>
          <w:rFonts w:ascii="Century Gothic" w:hAnsi="Century Gothic"/>
          <w:sz w:val="24"/>
          <w:szCs w:val="24"/>
        </w:rPr>
        <w:t xml:space="preserve"> earning capacity</w:t>
      </w:r>
      <w:r w:rsidR="00DA25F8">
        <w:rPr>
          <w:rFonts w:ascii="Century Gothic" w:hAnsi="Century Gothic"/>
          <w:sz w:val="24"/>
          <w:szCs w:val="24"/>
        </w:rPr>
        <w:t>, their immigration cases are no longer within scope for legal aid purposes so</w:t>
      </w:r>
      <w:r w:rsidR="001076B3">
        <w:rPr>
          <w:rFonts w:ascii="Century Gothic" w:hAnsi="Century Gothic"/>
          <w:sz w:val="24"/>
          <w:szCs w:val="24"/>
        </w:rPr>
        <w:t xml:space="preserve"> </w:t>
      </w:r>
      <w:r w:rsidR="007971EE">
        <w:rPr>
          <w:rFonts w:ascii="Century Gothic" w:hAnsi="Century Gothic"/>
          <w:sz w:val="24"/>
          <w:szCs w:val="24"/>
        </w:rPr>
        <w:t xml:space="preserve">they </w:t>
      </w:r>
      <w:r w:rsidR="001076B3">
        <w:rPr>
          <w:rFonts w:ascii="Century Gothic" w:hAnsi="Century Gothic"/>
          <w:sz w:val="24"/>
          <w:szCs w:val="24"/>
        </w:rPr>
        <w:t xml:space="preserve">will have to </w:t>
      </w:r>
      <w:r w:rsidR="00DA25F8">
        <w:rPr>
          <w:rFonts w:ascii="Century Gothic" w:hAnsi="Century Gothic"/>
          <w:sz w:val="24"/>
          <w:szCs w:val="24"/>
        </w:rPr>
        <w:t xml:space="preserve">find legal fees as well as fees for the application and immigration health surcharge, </w:t>
      </w:r>
      <w:r w:rsidR="001076B3">
        <w:rPr>
          <w:rFonts w:ascii="Century Gothic" w:hAnsi="Century Gothic"/>
          <w:sz w:val="24"/>
          <w:szCs w:val="24"/>
        </w:rPr>
        <w:t xml:space="preserve">or navigate lengthy application forms (the current form is 59 pages long), or seek a fee waiver </w:t>
      </w:r>
      <w:r w:rsidR="007971EE">
        <w:rPr>
          <w:rFonts w:ascii="Century Gothic" w:hAnsi="Century Gothic"/>
          <w:sz w:val="24"/>
          <w:szCs w:val="24"/>
        </w:rPr>
        <w:t xml:space="preserve">under a complex </w:t>
      </w:r>
      <w:proofErr w:type="gramStart"/>
      <w:r w:rsidR="007971EE">
        <w:rPr>
          <w:rFonts w:ascii="Century Gothic" w:hAnsi="Century Gothic"/>
          <w:sz w:val="24"/>
          <w:szCs w:val="24"/>
        </w:rPr>
        <w:t>policy</w:t>
      </w:r>
      <w:r w:rsidR="001076B3">
        <w:rPr>
          <w:rFonts w:ascii="Century Gothic" w:hAnsi="Century Gothic"/>
          <w:sz w:val="24"/>
          <w:szCs w:val="24"/>
        </w:rPr>
        <w:t>(</w:t>
      </w:r>
      <w:proofErr w:type="gramEnd"/>
      <w:r w:rsidR="001076B3">
        <w:rPr>
          <w:rFonts w:ascii="Century Gothic" w:hAnsi="Century Gothic"/>
          <w:sz w:val="24"/>
          <w:szCs w:val="24"/>
        </w:rPr>
        <w:t xml:space="preserve"> requiring a further 19 page form to be completed).  </w:t>
      </w:r>
    </w:p>
    <w:p w:rsidR="00DA25F8" w:rsidRDefault="00DA25F8" w:rsidP="0023083B">
      <w:pPr>
        <w:pStyle w:val="BodyText"/>
        <w:spacing w:after="0" w:line="360" w:lineRule="auto"/>
        <w:rPr>
          <w:rFonts w:ascii="Century Gothic" w:hAnsi="Century Gothic"/>
          <w:sz w:val="24"/>
          <w:szCs w:val="24"/>
        </w:rPr>
      </w:pPr>
    </w:p>
    <w:p w:rsidR="00DA25F8" w:rsidRDefault="00D3624E" w:rsidP="0023083B">
      <w:pPr>
        <w:pStyle w:val="BodyText"/>
        <w:spacing w:after="0" w:line="360" w:lineRule="auto"/>
        <w:rPr>
          <w:rFonts w:ascii="Century Gothic" w:hAnsi="Century Gothic"/>
          <w:sz w:val="24"/>
          <w:szCs w:val="24"/>
        </w:rPr>
      </w:pPr>
      <w:r>
        <w:rPr>
          <w:rFonts w:ascii="Century Gothic" w:hAnsi="Century Gothic"/>
          <w:sz w:val="24"/>
          <w:szCs w:val="24"/>
        </w:rPr>
        <w:t>The grant of limited leave to remain with access to public funds brings about a</w:t>
      </w:r>
      <w:r w:rsidR="003E24CD">
        <w:rPr>
          <w:rFonts w:ascii="Century Gothic" w:hAnsi="Century Gothic"/>
          <w:sz w:val="24"/>
          <w:szCs w:val="24"/>
        </w:rPr>
        <w:t>n undoubted</w:t>
      </w:r>
      <w:r>
        <w:rPr>
          <w:rFonts w:ascii="Century Gothic" w:hAnsi="Century Gothic"/>
          <w:sz w:val="24"/>
          <w:szCs w:val="24"/>
        </w:rPr>
        <w:t xml:space="preserve"> improvement for many clients but </w:t>
      </w:r>
      <w:r w:rsidR="00CC1766">
        <w:rPr>
          <w:rFonts w:ascii="Century Gothic" w:hAnsi="Century Gothic"/>
          <w:sz w:val="24"/>
          <w:szCs w:val="24"/>
        </w:rPr>
        <w:t>they</w:t>
      </w:r>
      <w:r w:rsidR="003E24CD">
        <w:rPr>
          <w:rFonts w:ascii="Century Gothic" w:hAnsi="Century Gothic"/>
          <w:sz w:val="24"/>
          <w:szCs w:val="24"/>
        </w:rPr>
        <w:t xml:space="preserve"> </w:t>
      </w:r>
      <w:r w:rsidR="00CC1766">
        <w:rPr>
          <w:rFonts w:ascii="Century Gothic" w:hAnsi="Century Gothic"/>
          <w:sz w:val="24"/>
          <w:szCs w:val="24"/>
        </w:rPr>
        <w:t>continue to</w:t>
      </w:r>
      <w:r w:rsidR="003E24CD">
        <w:rPr>
          <w:rFonts w:ascii="Century Gothic" w:hAnsi="Century Gothic"/>
          <w:sz w:val="24"/>
          <w:szCs w:val="24"/>
        </w:rPr>
        <w:t xml:space="preserve"> feel insecure</w:t>
      </w:r>
      <w:r w:rsidR="00CC1766">
        <w:rPr>
          <w:rFonts w:ascii="Century Gothic" w:hAnsi="Century Gothic"/>
          <w:sz w:val="24"/>
          <w:szCs w:val="24"/>
        </w:rPr>
        <w:t>,</w:t>
      </w:r>
      <w:r w:rsidR="003E24CD">
        <w:rPr>
          <w:rFonts w:ascii="Century Gothic" w:hAnsi="Century Gothic"/>
          <w:sz w:val="24"/>
          <w:szCs w:val="24"/>
        </w:rPr>
        <w:t xml:space="preserve"> as do their children.</w:t>
      </w:r>
      <w:r w:rsidR="00CC1766">
        <w:rPr>
          <w:rFonts w:ascii="Century Gothic" w:hAnsi="Century Gothic"/>
          <w:sz w:val="24"/>
          <w:szCs w:val="24"/>
        </w:rPr>
        <w:t xml:space="preserve"> </w:t>
      </w:r>
      <w:r w:rsidR="007971EE">
        <w:rPr>
          <w:rFonts w:ascii="Century Gothic" w:hAnsi="Century Gothic"/>
          <w:sz w:val="24"/>
          <w:szCs w:val="24"/>
        </w:rPr>
        <w:t xml:space="preserve">Whilst the academic research to date has been limited to refugees or the children of refugees granted limited leave to remain, it would appear that these findings can also be applied to other children, families or young people with insecure immigration status.  </w:t>
      </w:r>
    </w:p>
    <w:p w:rsidR="00DA25F8" w:rsidRDefault="00DA25F8" w:rsidP="0023083B">
      <w:pPr>
        <w:pStyle w:val="BodyText"/>
        <w:spacing w:after="0" w:line="360" w:lineRule="auto"/>
        <w:rPr>
          <w:rFonts w:ascii="Century Gothic" w:hAnsi="Century Gothic"/>
          <w:sz w:val="24"/>
          <w:szCs w:val="24"/>
        </w:rPr>
      </w:pPr>
    </w:p>
    <w:p w:rsidR="00DA25F8" w:rsidRDefault="000F1C96" w:rsidP="0023083B">
      <w:pPr>
        <w:pStyle w:val="BodyText"/>
        <w:spacing w:after="0" w:line="360" w:lineRule="auto"/>
        <w:rPr>
          <w:rFonts w:ascii="Century Gothic" w:hAnsi="Century Gothic"/>
          <w:sz w:val="24"/>
        </w:rPr>
      </w:pPr>
      <w:r w:rsidRPr="000F1C96">
        <w:rPr>
          <w:rFonts w:ascii="Century Gothic" w:hAnsi="Century Gothic"/>
          <w:sz w:val="24"/>
        </w:rPr>
        <w:t>It is clear</w:t>
      </w:r>
      <w:r>
        <w:rPr>
          <w:rFonts w:ascii="Century Gothic" w:hAnsi="Century Gothic"/>
          <w:sz w:val="24"/>
        </w:rPr>
        <w:t>,</w:t>
      </w:r>
      <w:r w:rsidRPr="000F1C96">
        <w:rPr>
          <w:rFonts w:ascii="Century Gothic" w:hAnsi="Century Gothic"/>
          <w:sz w:val="24"/>
        </w:rPr>
        <w:t xml:space="preserve"> that</w:t>
      </w:r>
      <w:r>
        <w:rPr>
          <w:rFonts w:ascii="Century Gothic" w:hAnsi="Century Gothic"/>
          <w:sz w:val="24"/>
        </w:rPr>
        <w:t xml:space="preserve"> whether del</w:t>
      </w:r>
      <w:r w:rsidRPr="000F1C96">
        <w:rPr>
          <w:rFonts w:ascii="Century Gothic" w:hAnsi="Century Gothic"/>
          <w:sz w:val="24"/>
        </w:rPr>
        <w:t>iberately or not</w:t>
      </w:r>
      <w:r>
        <w:rPr>
          <w:rFonts w:ascii="Century Gothic" w:hAnsi="Century Gothic"/>
          <w:sz w:val="24"/>
        </w:rPr>
        <w:t>,</w:t>
      </w:r>
      <w:r w:rsidRPr="000F1C96">
        <w:rPr>
          <w:rFonts w:ascii="Century Gothic" w:hAnsi="Century Gothic"/>
          <w:sz w:val="24"/>
        </w:rPr>
        <w:t xml:space="preserve"> the practice of the UKVI in dealing with these cases is to deny the basic necessities </w:t>
      </w:r>
      <w:r w:rsidR="00254F15">
        <w:rPr>
          <w:rFonts w:ascii="Century Gothic" w:hAnsi="Century Gothic"/>
          <w:sz w:val="24"/>
        </w:rPr>
        <w:t>for client</w:t>
      </w:r>
      <w:r w:rsidR="007F37D6">
        <w:rPr>
          <w:rFonts w:ascii="Century Gothic" w:hAnsi="Century Gothic"/>
          <w:sz w:val="24"/>
        </w:rPr>
        <w:t>s</w:t>
      </w:r>
      <w:r w:rsidR="00254F15">
        <w:rPr>
          <w:rFonts w:ascii="Century Gothic" w:hAnsi="Century Gothic"/>
          <w:sz w:val="24"/>
        </w:rPr>
        <w:t xml:space="preserve"> to be able to </w:t>
      </w:r>
      <w:r w:rsidRPr="000F1C96">
        <w:rPr>
          <w:rFonts w:ascii="Century Gothic" w:hAnsi="Century Gothic"/>
          <w:sz w:val="24"/>
        </w:rPr>
        <w:t>exercise fundamental human rights and to s</w:t>
      </w:r>
      <w:r w:rsidR="00254F15">
        <w:rPr>
          <w:rFonts w:ascii="Century Gothic" w:hAnsi="Century Gothic"/>
          <w:sz w:val="24"/>
        </w:rPr>
        <w:t xml:space="preserve">ecure the best interests of </w:t>
      </w:r>
      <w:r w:rsidR="00DE191E">
        <w:rPr>
          <w:rFonts w:ascii="Century Gothic" w:hAnsi="Century Gothic"/>
          <w:sz w:val="24"/>
        </w:rPr>
        <w:t xml:space="preserve">their </w:t>
      </w:r>
      <w:r w:rsidRPr="000F1C96">
        <w:rPr>
          <w:rFonts w:ascii="Century Gothic" w:hAnsi="Century Gothic"/>
          <w:sz w:val="24"/>
        </w:rPr>
        <w:t>children.</w:t>
      </w:r>
      <w:r>
        <w:rPr>
          <w:rFonts w:ascii="Century Gothic" w:hAnsi="Century Gothic"/>
          <w:sz w:val="24"/>
        </w:rPr>
        <w:t xml:space="preserve"> </w:t>
      </w:r>
      <w:r w:rsidRPr="000F1C96">
        <w:rPr>
          <w:rFonts w:ascii="Century Gothic" w:hAnsi="Century Gothic"/>
          <w:sz w:val="24"/>
        </w:rPr>
        <w:t xml:space="preserve">There is no evidence that a fast track to settlement would be any sort of pull factor. </w:t>
      </w:r>
    </w:p>
    <w:p w:rsidR="00DA25F8" w:rsidRDefault="00DA25F8" w:rsidP="0023083B">
      <w:pPr>
        <w:pStyle w:val="BodyText"/>
        <w:spacing w:after="0" w:line="360" w:lineRule="auto"/>
        <w:rPr>
          <w:rFonts w:ascii="Century Gothic" w:hAnsi="Century Gothic"/>
          <w:sz w:val="24"/>
        </w:rPr>
      </w:pPr>
    </w:p>
    <w:p w:rsidR="007971EE" w:rsidRDefault="007971EE" w:rsidP="0023083B">
      <w:pPr>
        <w:pStyle w:val="BodyText"/>
        <w:spacing w:after="0" w:line="360" w:lineRule="auto"/>
        <w:rPr>
          <w:rFonts w:ascii="Century Gothic" w:hAnsi="Century Gothic"/>
          <w:sz w:val="24"/>
        </w:rPr>
      </w:pPr>
      <w:r>
        <w:rPr>
          <w:rFonts w:ascii="Century Gothic" w:hAnsi="Century Gothic"/>
          <w:sz w:val="24"/>
        </w:rPr>
        <w:lastRenderedPageBreak/>
        <w:t xml:space="preserve">Finally, in light of the court’s rather narrow view to date of how children’s best interests are served in terms of the length of leave to be granted, it may be helpful to obtain additional case studies </w:t>
      </w:r>
      <w:r w:rsidR="00DA25F8">
        <w:rPr>
          <w:rFonts w:ascii="Century Gothic" w:hAnsi="Century Gothic"/>
          <w:sz w:val="24"/>
        </w:rPr>
        <w:t xml:space="preserve">to support any </w:t>
      </w:r>
      <w:r>
        <w:rPr>
          <w:rFonts w:ascii="Century Gothic" w:hAnsi="Century Gothic"/>
          <w:sz w:val="24"/>
        </w:rPr>
        <w:t>litigation</w:t>
      </w:r>
      <w:r w:rsidR="00DA25F8">
        <w:rPr>
          <w:rFonts w:ascii="Century Gothic" w:hAnsi="Century Gothic"/>
          <w:sz w:val="24"/>
        </w:rPr>
        <w:t xml:space="preserve"> in the future</w:t>
      </w:r>
      <w:r>
        <w:rPr>
          <w:rFonts w:ascii="Century Gothic" w:hAnsi="Century Gothic"/>
          <w:sz w:val="24"/>
        </w:rPr>
        <w:t>.</w:t>
      </w:r>
    </w:p>
    <w:p w:rsidR="00254F15" w:rsidRDefault="00254F15" w:rsidP="0023083B">
      <w:pPr>
        <w:pStyle w:val="BodyText"/>
        <w:spacing w:after="0" w:line="360" w:lineRule="auto"/>
        <w:rPr>
          <w:rFonts w:ascii="Century Gothic" w:hAnsi="Century Gothic"/>
          <w:sz w:val="24"/>
          <w:szCs w:val="24"/>
        </w:rPr>
      </w:pPr>
    </w:p>
    <w:p w:rsidR="00254F15" w:rsidRDefault="00254F15" w:rsidP="0023083B">
      <w:pPr>
        <w:pStyle w:val="BodyText"/>
        <w:spacing w:after="0" w:line="360" w:lineRule="auto"/>
        <w:rPr>
          <w:rFonts w:ascii="Century Gothic" w:hAnsi="Century Gothic"/>
          <w:sz w:val="24"/>
          <w:szCs w:val="24"/>
        </w:rPr>
      </w:pPr>
      <w:r>
        <w:rPr>
          <w:rFonts w:ascii="Century Gothic" w:hAnsi="Century Gothic"/>
          <w:sz w:val="24"/>
          <w:szCs w:val="24"/>
        </w:rPr>
        <w:t>Lambeth Law Centre</w:t>
      </w:r>
    </w:p>
    <w:p w:rsidR="00254F15" w:rsidRPr="000F1C96" w:rsidRDefault="00254F15" w:rsidP="0023083B">
      <w:pPr>
        <w:pStyle w:val="BodyText"/>
        <w:spacing w:after="0" w:line="360" w:lineRule="auto"/>
        <w:rPr>
          <w:rFonts w:ascii="Century Gothic" w:hAnsi="Century Gothic"/>
          <w:sz w:val="24"/>
        </w:rPr>
      </w:pPr>
      <w:r>
        <w:rPr>
          <w:rFonts w:ascii="Century Gothic" w:hAnsi="Century Gothic"/>
          <w:sz w:val="24"/>
          <w:szCs w:val="24"/>
        </w:rPr>
        <w:t>August 2015</w:t>
      </w:r>
    </w:p>
    <w:p w:rsidR="00A936DD" w:rsidRDefault="00A936DD" w:rsidP="00B2407D">
      <w:pPr>
        <w:pStyle w:val="BodyText"/>
        <w:spacing w:after="0" w:line="360" w:lineRule="auto"/>
        <w:rPr>
          <w:rFonts w:ascii="Century Gothic" w:hAnsi="Century Gothic"/>
          <w:sz w:val="24"/>
          <w:szCs w:val="24"/>
        </w:rPr>
      </w:pPr>
    </w:p>
    <w:p w:rsidR="00BF1CD4" w:rsidRDefault="00BF1CD4" w:rsidP="00B2407D">
      <w:pPr>
        <w:pStyle w:val="BodyText"/>
        <w:spacing w:after="0" w:line="360" w:lineRule="auto"/>
        <w:rPr>
          <w:rFonts w:ascii="Century Gothic" w:hAnsi="Century Gothic"/>
          <w:sz w:val="24"/>
          <w:szCs w:val="24"/>
        </w:rPr>
      </w:pPr>
    </w:p>
    <w:p w:rsidR="00757BD8" w:rsidRDefault="00757BD8" w:rsidP="00B2407D">
      <w:pPr>
        <w:pStyle w:val="BodyText"/>
        <w:spacing w:after="0" w:line="360" w:lineRule="auto"/>
        <w:rPr>
          <w:rFonts w:ascii="Century Gothic" w:hAnsi="Century Gothic"/>
          <w:sz w:val="24"/>
          <w:szCs w:val="24"/>
        </w:rPr>
      </w:pPr>
    </w:p>
    <w:p w:rsidR="00757BD8" w:rsidRDefault="00757BD8">
      <w:pPr>
        <w:spacing w:after="180"/>
        <w:rPr>
          <w:rFonts w:ascii="Century Gothic" w:hAnsi="Century Gothic"/>
          <w:sz w:val="24"/>
          <w:szCs w:val="24"/>
        </w:rPr>
      </w:pPr>
      <w:r>
        <w:rPr>
          <w:rFonts w:ascii="Century Gothic" w:hAnsi="Century Gothic"/>
          <w:sz w:val="24"/>
          <w:szCs w:val="24"/>
        </w:rPr>
        <w:br w:type="page"/>
      </w:r>
    </w:p>
    <w:p w:rsidR="00757BD8" w:rsidRPr="00254F15" w:rsidRDefault="0023083B" w:rsidP="00B2407D">
      <w:pPr>
        <w:pStyle w:val="BodyText"/>
        <w:spacing w:after="0" w:line="360" w:lineRule="auto"/>
        <w:rPr>
          <w:rFonts w:ascii="Century Gothic" w:hAnsi="Century Gothic"/>
        </w:rPr>
      </w:pPr>
      <w:r w:rsidRPr="00254F15">
        <w:rPr>
          <w:rFonts w:ascii="Century Gothic" w:hAnsi="Century Gothic"/>
        </w:rPr>
        <w:lastRenderedPageBreak/>
        <w:t>Appendices</w:t>
      </w:r>
    </w:p>
    <w:p w:rsidR="0023083B" w:rsidRPr="00254F15" w:rsidRDefault="0023083B" w:rsidP="00B2407D">
      <w:pPr>
        <w:pStyle w:val="BodyText"/>
        <w:spacing w:after="0" w:line="360" w:lineRule="auto"/>
        <w:rPr>
          <w:rFonts w:ascii="Century Gothic" w:hAnsi="Century Gothic"/>
        </w:rPr>
      </w:pPr>
    </w:p>
    <w:p w:rsidR="0023083B" w:rsidRPr="00254F15" w:rsidRDefault="0023083B" w:rsidP="0023083B">
      <w:pPr>
        <w:pStyle w:val="BodyText"/>
        <w:numPr>
          <w:ilvl w:val="0"/>
          <w:numId w:val="39"/>
        </w:numPr>
        <w:spacing w:after="0" w:line="360" w:lineRule="auto"/>
        <w:rPr>
          <w:rFonts w:ascii="Century Gothic" w:hAnsi="Century Gothic"/>
        </w:rPr>
      </w:pPr>
      <w:r w:rsidRPr="00254F15">
        <w:rPr>
          <w:rFonts w:ascii="Century Gothic" w:hAnsi="Century Gothic"/>
          <w:i/>
        </w:rPr>
        <w:t xml:space="preserve">Ruiz </w:t>
      </w:r>
      <w:proofErr w:type="spellStart"/>
      <w:r w:rsidRPr="00254F15">
        <w:rPr>
          <w:rFonts w:ascii="Century Gothic" w:hAnsi="Century Gothic"/>
          <w:i/>
        </w:rPr>
        <w:t>Zambrano</w:t>
      </w:r>
      <w:proofErr w:type="spellEnd"/>
      <w:r w:rsidRPr="00254F15">
        <w:rPr>
          <w:rFonts w:ascii="Century Gothic" w:hAnsi="Century Gothic"/>
        </w:rPr>
        <w:t xml:space="preserve"> C-34/09 (</w:t>
      </w:r>
      <w:r w:rsidR="00254F15">
        <w:rPr>
          <w:rFonts w:ascii="Century Gothic" w:hAnsi="Century Gothic"/>
        </w:rPr>
        <w:t>findings</w:t>
      </w:r>
      <w:r w:rsidRPr="00254F15">
        <w:rPr>
          <w:rFonts w:ascii="Century Gothic" w:hAnsi="Century Gothic"/>
        </w:rPr>
        <w:t>)</w:t>
      </w:r>
    </w:p>
    <w:p w:rsidR="00757BD8" w:rsidRPr="00254F15" w:rsidRDefault="00757BD8" w:rsidP="00B2407D">
      <w:pPr>
        <w:pStyle w:val="BodyText"/>
        <w:spacing w:after="0" w:line="360" w:lineRule="auto"/>
        <w:rPr>
          <w:rFonts w:ascii="Century Gothic" w:hAnsi="Century Gothic"/>
        </w:rPr>
      </w:pPr>
    </w:p>
    <w:p w:rsidR="00BF1CD4" w:rsidRPr="00254F15" w:rsidRDefault="00BF1CD4" w:rsidP="00BF1CD4">
      <w:pPr>
        <w:pStyle w:val="BodyText"/>
        <w:spacing w:after="0" w:line="360" w:lineRule="auto"/>
        <w:rPr>
          <w:rFonts w:ascii="Century Gothic" w:hAnsi="Century Gothic"/>
        </w:rPr>
      </w:pPr>
      <w:r w:rsidRPr="00254F15">
        <w:rPr>
          <w:rFonts w:ascii="Century Gothic" w:hAnsi="Century Gothic"/>
        </w:rPr>
        <w:t xml:space="preserve">The European Court of Justice in the case of </w:t>
      </w:r>
      <w:r w:rsidRPr="00254F15">
        <w:rPr>
          <w:rFonts w:ascii="Century Gothic" w:hAnsi="Century Gothic"/>
          <w:i/>
        </w:rPr>
        <w:t xml:space="preserve">Ruiz </w:t>
      </w:r>
      <w:proofErr w:type="spellStart"/>
      <w:r w:rsidRPr="00254F15">
        <w:rPr>
          <w:rFonts w:ascii="Century Gothic" w:hAnsi="Century Gothic"/>
          <w:i/>
        </w:rPr>
        <w:t>Zambrano</w:t>
      </w:r>
      <w:proofErr w:type="spellEnd"/>
      <w:r w:rsidRPr="00254F15">
        <w:rPr>
          <w:rFonts w:ascii="Century Gothic" w:hAnsi="Century Gothic"/>
        </w:rPr>
        <w:t xml:space="preserve"> C-34/09, the court regarded continued enjoyment of family life between EU children and third country parents as part of the enjoyment of the substance of EU law rights.</w:t>
      </w:r>
    </w:p>
    <w:p w:rsidR="00BF1CD4" w:rsidRPr="00254F15" w:rsidRDefault="00BF1CD4" w:rsidP="00BF1CD4">
      <w:pPr>
        <w:pStyle w:val="BodyText"/>
        <w:spacing w:after="0" w:line="360" w:lineRule="auto"/>
        <w:rPr>
          <w:rFonts w:ascii="Century Gothic" w:hAnsi="Century Gothic"/>
        </w:rPr>
      </w:pPr>
    </w:p>
    <w:p w:rsidR="00BF1CD4" w:rsidRPr="00254F15" w:rsidRDefault="00BF1CD4" w:rsidP="00BF1CD4">
      <w:pPr>
        <w:pStyle w:val="BodyText"/>
        <w:spacing w:after="0" w:line="360" w:lineRule="auto"/>
        <w:rPr>
          <w:rFonts w:ascii="Century Gothic" w:hAnsi="Century Gothic"/>
        </w:rPr>
      </w:pPr>
      <w:r w:rsidRPr="00254F15">
        <w:rPr>
          <w:rFonts w:ascii="Century Gothic" w:hAnsi="Century Gothic"/>
        </w:rPr>
        <w:t xml:space="preserve">Paragraph 42 - the judgment stated </w:t>
      </w:r>
      <w:r w:rsidR="00254F15">
        <w:rPr>
          <w:rFonts w:ascii="Century Gothic" w:hAnsi="Century Gothic"/>
        </w:rPr>
        <w:t xml:space="preserve">that </w:t>
      </w:r>
      <w:r w:rsidRPr="00254F15">
        <w:rPr>
          <w:rFonts w:ascii="Century Gothic" w:hAnsi="Century Gothic"/>
        </w:rPr>
        <w:t>Article 20 TF EU precludes national measures which have the effect of depriving citizens of the Union of the genuine enjoyment of the substance of the rights conferred by virtue of their status as citizens of the Union.</w:t>
      </w:r>
    </w:p>
    <w:p w:rsidR="00BF1CD4" w:rsidRPr="00254F15" w:rsidRDefault="00BF1CD4" w:rsidP="00BF1CD4">
      <w:pPr>
        <w:pStyle w:val="BodyText"/>
        <w:spacing w:after="0" w:line="360" w:lineRule="auto"/>
        <w:rPr>
          <w:rFonts w:ascii="Century Gothic" w:hAnsi="Century Gothic"/>
        </w:rPr>
      </w:pPr>
    </w:p>
    <w:p w:rsidR="00BF1CD4" w:rsidRPr="00254F15" w:rsidRDefault="00BF1CD4" w:rsidP="00BF1CD4">
      <w:pPr>
        <w:pStyle w:val="BodyText"/>
        <w:spacing w:after="0" w:line="360" w:lineRule="auto"/>
        <w:rPr>
          <w:rFonts w:ascii="Century Gothic" w:hAnsi="Century Gothic"/>
        </w:rPr>
      </w:pPr>
      <w:r w:rsidRPr="00254F15">
        <w:rPr>
          <w:rFonts w:ascii="Century Gothic" w:hAnsi="Century Gothic"/>
        </w:rPr>
        <w:t>Paragraph 43 -  a refusal to grant a right of residence to a third country national with dependent minor children in the member state where those children are nationals and reside, and also refusal to grant such a person a work permit, has such an effect.</w:t>
      </w:r>
    </w:p>
    <w:p w:rsidR="00BF1CD4" w:rsidRPr="00254F15" w:rsidRDefault="00BF1CD4" w:rsidP="00BF1CD4">
      <w:pPr>
        <w:pStyle w:val="BodyText"/>
        <w:spacing w:after="0" w:line="360" w:lineRule="auto"/>
        <w:rPr>
          <w:rFonts w:ascii="Century Gothic" w:hAnsi="Century Gothic"/>
        </w:rPr>
      </w:pPr>
    </w:p>
    <w:p w:rsidR="00BF1CD4" w:rsidRPr="00254F15" w:rsidRDefault="00BF1CD4" w:rsidP="00BF1CD4">
      <w:pPr>
        <w:pStyle w:val="BodyText"/>
        <w:spacing w:after="0" w:line="360" w:lineRule="auto"/>
        <w:rPr>
          <w:rFonts w:ascii="Century Gothic" w:hAnsi="Century Gothic"/>
        </w:rPr>
      </w:pPr>
      <w:r w:rsidRPr="00254F15">
        <w:rPr>
          <w:rFonts w:ascii="Century Gothic" w:hAnsi="Century Gothic"/>
        </w:rPr>
        <w:t>Paragraph 44 - it must be assumed that such a refusal would lead to a situation where those children, citizens of the Union, would have to leave the territory of the Union in order to accompany their parents.</w:t>
      </w:r>
    </w:p>
    <w:p w:rsidR="0023083B" w:rsidRPr="00254F15" w:rsidRDefault="0023083B" w:rsidP="0023083B">
      <w:pPr>
        <w:pStyle w:val="BodyText"/>
        <w:spacing w:after="0" w:line="360" w:lineRule="auto"/>
        <w:rPr>
          <w:rFonts w:ascii="Century Gothic" w:hAnsi="Century Gothic"/>
        </w:rPr>
      </w:pPr>
      <w:r w:rsidRPr="00254F15">
        <w:rPr>
          <w:rFonts w:ascii="Century Gothic" w:hAnsi="Century Gothic"/>
        </w:rPr>
        <w:t xml:space="preserve"> </w:t>
      </w:r>
    </w:p>
    <w:p w:rsidR="0023083B" w:rsidRPr="00254F15" w:rsidRDefault="0023083B" w:rsidP="0023083B">
      <w:pPr>
        <w:pStyle w:val="BodyText"/>
        <w:numPr>
          <w:ilvl w:val="0"/>
          <w:numId w:val="39"/>
        </w:numPr>
        <w:spacing w:after="0" w:line="360" w:lineRule="auto"/>
        <w:rPr>
          <w:rFonts w:ascii="Century Gothic" w:hAnsi="Century Gothic"/>
        </w:rPr>
      </w:pPr>
      <w:r w:rsidRPr="00254F15">
        <w:rPr>
          <w:rFonts w:ascii="Century Gothic" w:hAnsi="Century Gothic"/>
        </w:rPr>
        <w:t>The Immigration (European Economic Area) Regulations 2006 as amended, Regulation 15A</w:t>
      </w:r>
    </w:p>
    <w:p w:rsidR="0023083B" w:rsidRPr="00254F15" w:rsidRDefault="0023083B" w:rsidP="00BF1CD4">
      <w:pPr>
        <w:pStyle w:val="BodyText"/>
        <w:spacing w:after="0" w:line="360" w:lineRule="auto"/>
        <w:rPr>
          <w:rFonts w:ascii="Century Gothic" w:hAnsi="Century Gothic"/>
        </w:rPr>
      </w:pPr>
    </w:p>
    <w:p w:rsidR="00EA72BA" w:rsidRPr="00254F15" w:rsidRDefault="00EA72BA" w:rsidP="0023083B">
      <w:pPr>
        <w:pStyle w:val="Heading3"/>
        <w:numPr>
          <w:ilvl w:val="0"/>
          <w:numId w:val="0"/>
        </w:numPr>
        <w:shd w:val="clear" w:color="auto" w:fill="FFFFFF"/>
        <w:spacing w:after="120" w:line="288" w:lineRule="atLeast"/>
        <w:ind w:left="907"/>
        <w:rPr>
          <w:rFonts w:ascii="Century Gothic" w:hAnsi="Century Gothic" w:cs="Arial"/>
        </w:rPr>
      </w:pPr>
      <w:r w:rsidRPr="00254F15">
        <w:rPr>
          <w:rStyle w:val="amendedcolour"/>
          <w:rFonts w:ascii="Century Gothic" w:hAnsi="Century Gothic" w:cs="Arial"/>
        </w:rPr>
        <w:t>Derivative right of residence</w:t>
      </w:r>
    </w:p>
    <w:p w:rsidR="00EA72BA" w:rsidRPr="00254F15" w:rsidRDefault="00EA72BA" w:rsidP="00EA72BA">
      <w:pPr>
        <w:pStyle w:val="legp1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b/>
          <w:bCs/>
          <w:sz w:val="22"/>
          <w:szCs w:val="22"/>
        </w:rPr>
        <w:t>15A.</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(1) A person (“P”) who is not</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an exempt person</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and who satisfies the criteria in paragraph (2), (3), (4), (4A)</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or (5) of this regulation is entitled to a derivative right to reside in the United Kingdom for as long as P satisfies the relevant criteria.</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(2) P satisfies the criteria in this paragraph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 xml:space="preserve">(a)P is the primary </w:t>
      </w:r>
      <w:proofErr w:type="spellStart"/>
      <w:r w:rsidRPr="00254F15">
        <w:rPr>
          <w:rStyle w:val="amendedcolour"/>
          <w:rFonts w:ascii="Century Gothic" w:hAnsi="Century Gothic" w:cs="Arial"/>
          <w:sz w:val="22"/>
          <w:szCs w:val="22"/>
        </w:rPr>
        <w:t>carer</w:t>
      </w:r>
      <w:proofErr w:type="spellEnd"/>
      <w:r w:rsidRPr="00254F15">
        <w:rPr>
          <w:rStyle w:val="amendedcolour"/>
          <w:rFonts w:ascii="Century Gothic" w:hAnsi="Century Gothic" w:cs="Arial"/>
          <w:sz w:val="22"/>
          <w:szCs w:val="22"/>
        </w:rPr>
        <w:t xml:space="preserve"> of an EEA national (“the relevant EEA national”);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w:t>
      </w:r>
      <w:proofErr w:type="gramStart"/>
      <w:r w:rsidRPr="00254F15">
        <w:rPr>
          <w:rStyle w:val="amendedcolour"/>
          <w:rFonts w:ascii="Century Gothic" w:hAnsi="Century Gothic" w:cs="Arial"/>
          <w:sz w:val="22"/>
          <w:szCs w:val="22"/>
        </w:rPr>
        <w:t>b)</w:t>
      </w:r>
      <w:proofErr w:type="gramEnd"/>
      <w:r w:rsidRPr="00254F15">
        <w:rPr>
          <w:rStyle w:val="amendedcolour"/>
          <w:rFonts w:ascii="Century Gothic" w:hAnsi="Century Gothic" w:cs="Arial"/>
          <w:sz w:val="22"/>
          <w:szCs w:val="22"/>
        </w:rPr>
        <w:t>the relevant EEA national—</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lastRenderedPageBreak/>
        <w:t>(</w:t>
      </w:r>
      <w:proofErr w:type="spellStart"/>
      <w:proofErr w:type="gramStart"/>
      <w:r w:rsidRPr="00254F15">
        <w:rPr>
          <w:rStyle w:val="amendedcolour"/>
          <w:rFonts w:ascii="Century Gothic" w:hAnsi="Century Gothic" w:cs="Arial"/>
          <w:sz w:val="22"/>
          <w:szCs w:val="22"/>
        </w:rPr>
        <w:t>i</w:t>
      </w:r>
      <w:proofErr w:type="spellEnd"/>
      <w:r w:rsidRPr="00254F15">
        <w:rPr>
          <w:rStyle w:val="amendedcolour"/>
          <w:rFonts w:ascii="Century Gothic" w:hAnsi="Century Gothic" w:cs="Arial"/>
          <w:sz w:val="22"/>
          <w:szCs w:val="22"/>
        </w:rPr>
        <w:t>)</w:t>
      </w:r>
      <w:proofErr w:type="gramEnd"/>
      <w:r w:rsidRPr="00254F15">
        <w:rPr>
          <w:rStyle w:val="amendedcolour"/>
          <w:rFonts w:ascii="Century Gothic" w:hAnsi="Century Gothic" w:cs="Arial"/>
          <w:sz w:val="22"/>
          <w:szCs w:val="22"/>
        </w:rPr>
        <w:t>is under the age of 18;</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(ii</w:t>
      </w:r>
      <w:proofErr w:type="gramStart"/>
      <w:r w:rsidRPr="00254F15">
        <w:rPr>
          <w:rStyle w:val="amendedcolour"/>
          <w:rFonts w:ascii="Century Gothic" w:hAnsi="Century Gothic" w:cs="Arial"/>
          <w:sz w:val="22"/>
          <w:szCs w:val="22"/>
        </w:rPr>
        <w:t>)is</w:t>
      </w:r>
      <w:proofErr w:type="gramEnd"/>
      <w:r w:rsidRPr="00254F15">
        <w:rPr>
          <w:rStyle w:val="amendedcolour"/>
          <w:rFonts w:ascii="Century Gothic" w:hAnsi="Century Gothic" w:cs="Arial"/>
          <w:sz w:val="22"/>
          <w:szCs w:val="22"/>
        </w:rPr>
        <w:t xml:space="preserve"> residing in the United Kingdom as a self-sufficient person;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(iii</w:t>
      </w:r>
      <w:proofErr w:type="gramStart"/>
      <w:r w:rsidRPr="00254F15">
        <w:rPr>
          <w:rStyle w:val="amendedcolour"/>
          <w:rFonts w:ascii="Century Gothic" w:hAnsi="Century Gothic" w:cs="Arial"/>
          <w:sz w:val="22"/>
          <w:szCs w:val="22"/>
        </w:rPr>
        <w:t>)would</w:t>
      </w:r>
      <w:proofErr w:type="gramEnd"/>
      <w:r w:rsidRPr="00254F15">
        <w:rPr>
          <w:rStyle w:val="amendedcolour"/>
          <w:rFonts w:ascii="Century Gothic" w:hAnsi="Century Gothic" w:cs="Arial"/>
          <w:sz w:val="22"/>
          <w:szCs w:val="22"/>
        </w:rPr>
        <w:t xml:space="preserve"> be unable to remain in the United Kingdom if P were required to leave.</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(3) P satisfies the criteria in this paragraph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(a)P is the child of an EEA national (“the EEA national parent”);</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(b)P resided in the United Kingdom at a time when the EEA national parent was residing in the United Kingdom as a worker;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(c)P is in education in the United Kingdom and was in education there at a time when the EEA national parent was in the United Kingdom.</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(4) P satisfies the criteria in this paragraph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 xml:space="preserve">(a)P is the primary </w:t>
      </w:r>
      <w:proofErr w:type="spellStart"/>
      <w:r w:rsidRPr="00254F15">
        <w:rPr>
          <w:rStyle w:val="amendedcolour"/>
          <w:rFonts w:ascii="Century Gothic" w:hAnsi="Century Gothic" w:cs="Arial"/>
          <w:sz w:val="22"/>
          <w:szCs w:val="22"/>
        </w:rPr>
        <w:t>carer</w:t>
      </w:r>
      <w:proofErr w:type="spellEnd"/>
      <w:r w:rsidRPr="00254F15">
        <w:rPr>
          <w:rStyle w:val="amendedcolour"/>
          <w:rFonts w:ascii="Century Gothic" w:hAnsi="Century Gothic" w:cs="Arial"/>
          <w:sz w:val="22"/>
          <w:szCs w:val="22"/>
        </w:rPr>
        <w:t xml:space="preserve"> of a person meeting the criteria in paragraph (3) (“the relevant person”);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(b</w:t>
      </w:r>
      <w:proofErr w:type="gramStart"/>
      <w:r w:rsidRPr="00254F15">
        <w:rPr>
          <w:rStyle w:val="amendedcolour"/>
          <w:rFonts w:ascii="Century Gothic" w:hAnsi="Century Gothic" w:cs="Arial"/>
          <w:sz w:val="22"/>
          <w:szCs w:val="22"/>
        </w:rPr>
        <w:t>)the</w:t>
      </w:r>
      <w:proofErr w:type="gramEnd"/>
      <w:r w:rsidRPr="00254F15">
        <w:rPr>
          <w:rStyle w:val="amendedcolour"/>
          <w:rFonts w:ascii="Century Gothic" w:hAnsi="Century Gothic" w:cs="Arial"/>
          <w:sz w:val="22"/>
          <w:szCs w:val="22"/>
        </w:rPr>
        <w:t xml:space="preserve"> relevant person would be unable to continue to be educated in the United Kingdom if P were required to leave.</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(4A) P satisfies the criteria in this paragraph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 xml:space="preserve">(a)P is the primary </w:t>
      </w:r>
      <w:proofErr w:type="spellStart"/>
      <w:r w:rsidRPr="00254F15">
        <w:rPr>
          <w:rStyle w:val="amendedcolour"/>
          <w:rFonts w:ascii="Century Gothic" w:hAnsi="Century Gothic" w:cs="Arial"/>
          <w:sz w:val="22"/>
          <w:szCs w:val="22"/>
        </w:rPr>
        <w:t>carer</w:t>
      </w:r>
      <w:proofErr w:type="spellEnd"/>
      <w:r w:rsidRPr="00254F15">
        <w:rPr>
          <w:rStyle w:val="amendedcolour"/>
          <w:rFonts w:ascii="Century Gothic" w:hAnsi="Century Gothic" w:cs="Arial"/>
          <w:sz w:val="22"/>
          <w:szCs w:val="22"/>
        </w:rPr>
        <w:t xml:space="preserve"> of a British citizen (“the relevant British citizen”);</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w:t>
      </w:r>
      <w:proofErr w:type="gramStart"/>
      <w:r w:rsidRPr="00254F15">
        <w:rPr>
          <w:rStyle w:val="amendedcolour"/>
          <w:rFonts w:ascii="Century Gothic" w:hAnsi="Century Gothic" w:cs="Arial"/>
          <w:sz w:val="22"/>
          <w:szCs w:val="22"/>
        </w:rPr>
        <w:t>b)</w:t>
      </w:r>
      <w:proofErr w:type="gramEnd"/>
      <w:r w:rsidRPr="00254F15">
        <w:rPr>
          <w:rStyle w:val="amendedcolour"/>
          <w:rFonts w:ascii="Century Gothic" w:hAnsi="Century Gothic" w:cs="Arial"/>
          <w:sz w:val="22"/>
          <w:szCs w:val="22"/>
        </w:rPr>
        <w:t>the relevant British citizen is residing in the United Kingdom;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(c</w:t>
      </w:r>
      <w:proofErr w:type="gramStart"/>
      <w:r w:rsidRPr="00254F15">
        <w:rPr>
          <w:rStyle w:val="amendedcolour"/>
          <w:rFonts w:ascii="Century Gothic" w:hAnsi="Century Gothic" w:cs="Arial"/>
          <w:sz w:val="22"/>
          <w:szCs w:val="22"/>
        </w:rPr>
        <w:t>)the</w:t>
      </w:r>
      <w:proofErr w:type="gramEnd"/>
      <w:r w:rsidRPr="00254F15">
        <w:rPr>
          <w:rStyle w:val="amendedcolour"/>
          <w:rFonts w:ascii="Century Gothic" w:hAnsi="Century Gothic" w:cs="Arial"/>
          <w:sz w:val="22"/>
          <w:szCs w:val="22"/>
        </w:rPr>
        <w:t xml:space="preserve"> relevant British citizen would be unable to reside in the UK or in another EEA State if P were required to leave.</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(5) P satisfies the criteria in this paragraph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(a)P is under the age of 18;</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 xml:space="preserve">(b)P’s primary </w:t>
      </w:r>
      <w:proofErr w:type="spellStart"/>
      <w:r w:rsidRPr="00254F15">
        <w:rPr>
          <w:rStyle w:val="amendedcolour"/>
          <w:rFonts w:ascii="Century Gothic" w:hAnsi="Century Gothic" w:cs="Arial"/>
          <w:sz w:val="22"/>
          <w:szCs w:val="22"/>
        </w:rPr>
        <w:t>carer</w:t>
      </w:r>
      <w:proofErr w:type="spellEnd"/>
      <w:r w:rsidRPr="00254F15">
        <w:rPr>
          <w:rStyle w:val="amendedcolour"/>
          <w:rFonts w:ascii="Century Gothic" w:hAnsi="Century Gothic" w:cs="Arial"/>
          <w:sz w:val="22"/>
          <w:szCs w:val="22"/>
        </w:rPr>
        <w:t xml:space="preserve"> is entitled to a derivative right to reside in the United Kingdom by virtue of paragraph (2) or (4);</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(c)P does not have leave to enter, or remain in, the United Kingdom;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(d</w:t>
      </w:r>
      <w:proofErr w:type="gramStart"/>
      <w:r w:rsidRPr="00254F15">
        <w:rPr>
          <w:rStyle w:val="amendedcolour"/>
          <w:rFonts w:ascii="Century Gothic" w:hAnsi="Century Gothic" w:cs="Arial"/>
          <w:sz w:val="22"/>
          <w:szCs w:val="22"/>
        </w:rPr>
        <w:t>)requiring</w:t>
      </w:r>
      <w:proofErr w:type="gramEnd"/>
      <w:r w:rsidRPr="00254F15">
        <w:rPr>
          <w:rStyle w:val="amendedcolour"/>
          <w:rFonts w:ascii="Century Gothic" w:hAnsi="Century Gothic" w:cs="Arial"/>
          <w:sz w:val="22"/>
          <w:szCs w:val="22"/>
        </w:rPr>
        <w:t xml:space="preserve"> P to leave the United Kingdom would prevent P’s primary carer from residing in the United Kingdom.</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(6) For the purpose of this regulation—</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(a</w:t>
      </w:r>
      <w:proofErr w:type="gramStart"/>
      <w:r w:rsidRPr="00254F15">
        <w:rPr>
          <w:rStyle w:val="amendedcolour"/>
          <w:rFonts w:ascii="Century Gothic" w:hAnsi="Century Gothic" w:cs="Arial"/>
          <w:sz w:val="22"/>
          <w:szCs w:val="22"/>
        </w:rPr>
        <w:t>)“</w:t>
      </w:r>
      <w:proofErr w:type="gramEnd"/>
      <w:r w:rsidRPr="00254F15">
        <w:rPr>
          <w:rStyle w:val="amendedcolour"/>
          <w:rFonts w:ascii="Century Gothic" w:hAnsi="Century Gothic" w:cs="Arial"/>
          <w:sz w:val="22"/>
          <w:szCs w:val="22"/>
        </w:rPr>
        <w:t>education” excludes nursery education;</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(b</w:t>
      </w:r>
      <w:proofErr w:type="gramStart"/>
      <w:r w:rsidRPr="00254F15">
        <w:rPr>
          <w:rStyle w:val="amendedcolour"/>
          <w:rFonts w:ascii="Century Gothic" w:hAnsi="Century Gothic" w:cs="Arial"/>
          <w:sz w:val="22"/>
          <w:szCs w:val="22"/>
        </w:rPr>
        <w:t>)“</w:t>
      </w:r>
      <w:proofErr w:type="gramEnd"/>
      <w:r w:rsidRPr="00254F15">
        <w:rPr>
          <w:rStyle w:val="amendedcolour"/>
          <w:rFonts w:ascii="Century Gothic" w:hAnsi="Century Gothic" w:cs="Arial"/>
          <w:sz w:val="22"/>
          <w:szCs w:val="22"/>
        </w:rPr>
        <w:t>worker” does not include a jobseeker or a person who falls to be regarded as a worker by virtue of</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regulation 6(2);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lastRenderedPageBreak/>
        <w:t>(c</w:t>
      </w:r>
      <w:proofErr w:type="gramStart"/>
      <w:r w:rsidRPr="00254F15">
        <w:rPr>
          <w:rStyle w:val="amendedcolour"/>
          <w:rFonts w:ascii="Century Gothic" w:hAnsi="Century Gothic" w:cs="Arial"/>
          <w:sz w:val="22"/>
          <w:szCs w:val="22"/>
        </w:rPr>
        <w:t>)“</w:t>
      </w:r>
      <w:proofErr w:type="gramEnd"/>
      <w:r w:rsidRPr="00254F15">
        <w:rPr>
          <w:rStyle w:val="amendedcolour"/>
          <w:rFonts w:ascii="Century Gothic" w:hAnsi="Century Gothic" w:cs="Arial"/>
          <w:sz w:val="22"/>
          <w:szCs w:val="22"/>
        </w:rPr>
        <w:t>an exempt person” is a person—</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w:t>
      </w:r>
      <w:proofErr w:type="spellStart"/>
      <w:r w:rsidRPr="00254F15">
        <w:rPr>
          <w:rStyle w:val="amendedcolour"/>
          <w:rFonts w:ascii="Century Gothic" w:hAnsi="Century Gothic" w:cs="Arial"/>
          <w:sz w:val="22"/>
          <w:szCs w:val="22"/>
        </w:rPr>
        <w:t>i</w:t>
      </w:r>
      <w:proofErr w:type="spellEnd"/>
      <w:proofErr w:type="gramStart"/>
      <w:r w:rsidRPr="00254F15">
        <w:rPr>
          <w:rStyle w:val="amendedcolour"/>
          <w:rFonts w:ascii="Century Gothic" w:hAnsi="Century Gothic" w:cs="Arial"/>
          <w:sz w:val="22"/>
          <w:szCs w:val="22"/>
        </w:rPr>
        <w:t>)who</w:t>
      </w:r>
      <w:proofErr w:type="gramEnd"/>
      <w:r w:rsidRPr="00254F15">
        <w:rPr>
          <w:rStyle w:val="amendedcolour"/>
          <w:rFonts w:ascii="Century Gothic" w:hAnsi="Century Gothic" w:cs="Arial"/>
          <w:sz w:val="22"/>
          <w:szCs w:val="22"/>
        </w:rPr>
        <w:t xml:space="preserve"> has a right to reside in the United Kingdom as a result of any other provision of these Regulations;</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(ii</w:t>
      </w:r>
      <w:proofErr w:type="gramStart"/>
      <w:r w:rsidRPr="00254F15">
        <w:rPr>
          <w:rStyle w:val="amendedcolour"/>
          <w:rFonts w:ascii="Century Gothic" w:hAnsi="Century Gothic" w:cs="Arial"/>
          <w:sz w:val="22"/>
          <w:szCs w:val="22"/>
        </w:rPr>
        <w:t>)who</w:t>
      </w:r>
      <w:proofErr w:type="gramEnd"/>
      <w:r w:rsidRPr="00254F15">
        <w:rPr>
          <w:rStyle w:val="amendedcolour"/>
          <w:rFonts w:ascii="Century Gothic" w:hAnsi="Century Gothic" w:cs="Arial"/>
          <w:sz w:val="22"/>
          <w:szCs w:val="22"/>
        </w:rPr>
        <w:t xml:space="preserve"> has a right of abode in the United Kingdom by virtue of section 2 of the 1971 Act;</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(iii</w:t>
      </w:r>
      <w:proofErr w:type="gramStart"/>
      <w:r w:rsidRPr="00254F15">
        <w:rPr>
          <w:rStyle w:val="amendedcolour"/>
          <w:rFonts w:ascii="Century Gothic" w:hAnsi="Century Gothic" w:cs="Arial"/>
          <w:sz w:val="22"/>
          <w:szCs w:val="22"/>
        </w:rPr>
        <w:t>)to</w:t>
      </w:r>
      <w:proofErr w:type="gramEnd"/>
      <w:r w:rsidRPr="00254F15">
        <w:rPr>
          <w:rStyle w:val="amendedcolour"/>
          <w:rFonts w:ascii="Century Gothic" w:hAnsi="Century Gothic" w:cs="Arial"/>
          <w:sz w:val="22"/>
          <w:szCs w:val="22"/>
        </w:rPr>
        <w:t xml:space="preserve"> whom section 8 of the 1971 Act, or any order made under subsection (2) of that provision, applies; or</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(iv</w:t>
      </w:r>
      <w:proofErr w:type="gramStart"/>
      <w:r w:rsidRPr="00254F15">
        <w:rPr>
          <w:rStyle w:val="amendedcolour"/>
          <w:rFonts w:ascii="Century Gothic" w:hAnsi="Century Gothic" w:cs="Arial"/>
          <w:sz w:val="22"/>
          <w:szCs w:val="22"/>
        </w:rPr>
        <w:t>)who</w:t>
      </w:r>
      <w:proofErr w:type="gramEnd"/>
      <w:r w:rsidRPr="00254F15">
        <w:rPr>
          <w:rStyle w:val="amendedcolour"/>
          <w:rFonts w:ascii="Century Gothic" w:hAnsi="Century Gothic" w:cs="Arial"/>
          <w:sz w:val="22"/>
          <w:szCs w:val="22"/>
        </w:rPr>
        <w:t xml:space="preserve"> has indefinite leave to enter or remain in the United Kingdom.</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(7) P is to be regarded as a “primary carer” of another person if</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(a)P is a direct relative or a legal guardian of that person; and</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(b)P—</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w:t>
      </w:r>
      <w:proofErr w:type="spellStart"/>
      <w:proofErr w:type="gramStart"/>
      <w:r w:rsidRPr="00254F15">
        <w:rPr>
          <w:rStyle w:val="amendedcolour"/>
          <w:rFonts w:ascii="Century Gothic" w:hAnsi="Century Gothic" w:cs="Arial"/>
          <w:sz w:val="22"/>
          <w:szCs w:val="22"/>
        </w:rPr>
        <w:t>i</w:t>
      </w:r>
      <w:proofErr w:type="spellEnd"/>
      <w:r w:rsidRPr="00254F15">
        <w:rPr>
          <w:rStyle w:val="amendedcolour"/>
          <w:rFonts w:ascii="Century Gothic" w:hAnsi="Century Gothic" w:cs="Arial"/>
          <w:sz w:val="22"/>
          <w:szCs w:val="22"/>
        </w:rPr>
        <w:t>)</w:t>
      </w:r>
      <w:proofErr w:type="gramEnd"/>
      <w:r w:rsidRPr="00254F15">
        <w:rPr>
          <w:rStyle w:val="amendedcolour"/>
          <w:rFonts w:ascii="Century Gothic" w:hAnsi="Century Gothic" w:cs="Arial"/>
          <w:sz w:val="22"/>
          <w:szCs w:val="22"/>
        </w:rPr>
        <w:t>is the person who has primary responsibility for that person’s care; or</w:t>
      </w:r>
    </w:p>
    <w:p w:rsidR="00EA72BA" w:rsidRPr="00254F15" w:rsidRDefault="00EA72BA" w:rsidP="00EA72BA">
      <w:pPr>
        <w:pStyle w:val="legclearfix"/>
        <w:shd w:val="clear" w:color="auto" w:fill="FFFFFF"/>
        <w:spacing w:before="0" w:beforeAutospacing="0" w:after="120" w:afterAutospacing="0" w:line="360" w:lineRule="atLeast"/>
        <w:rPr>
          <w:rFonts w:ascii="Century Gothic" w:hAnsi="Century Gothic" w:cs="Arial"/>
          <w:sz w:val="22"/>
          <w:szCs w:val="22"/>
        </w:rPr>
      </w:pPr>
      <w:r w:rsidRPr="00254F15">
        <w:rPr>
          <w:rStyle w:val="amendedcolour"/>
          <w:rFonts w:ascii="Century Gothic" w:hAnsi="Century Gothic" w:cs="Arial"/>
          <w:sz w:val="22"/>
          <w:szCs w:val="22"/>
        </w:rPr>
        <w:t>(ii</w:t>
      </w:r>
      <w:proofErr w:type="gramStart"/>
      <w:r w:rsidRPr="00254F15">
        <w:rPr>
          <w:rStyle w:val="amendedcolour"/>
          <w:rFonts w:ascii="Century Gothic" w:hAnsi="Century Gothic" w:cs="Arial"/>
          <w:sz w:val="22"/>
          <w:szCs w:val="22"/>
        </w:rPr>
        <w:t>)shares</w:t>
      </w:r>
      <w:proofErr w:type="gramEnd"/>
      <w:r w:rsidRPr="00254F15">
        <w:rPr>
          <w:rStyle w:val="amendedcolour"/>
          <w:rFonts w:ascii="Century Gothic" w:hAnsi="Century Gothic" w:cs="Arial"/>
          <w:sz w:val="22"/>
          <w:szCs w:val="22"/>
        </w:rPr>
        <w:t xml:space="preserve"> equally the responsibility for that person’s care with one other person who is not an exempt person.</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 xml:space="preserve">(7A) Where P is to be regarded as a primary </w:t>
      </w:r>
      <w:proofErr w:type="spellStart"/>
      <w:r w:rsidRPr="00254F15">
        <w:rPr>
          <w:rStyle w:val="amendedcolour"/>
          <w:rFonts w:ascii="Century Gothic" w:hAnsi="Century Gothic" w:cs="Arial"/>
          <w:sz w:val="22"/>
          <w:szCs w:val="22"/>
        </w:rPr>
        <w:t>carer</w:t>
      </w:r>
      <w:proofErr w:type="spellEnd"/>
      <w:r w:rsidRPr="00254F15">
        <w:rPr>
          <w:rStyle w:val="amendedcolour"/>
          <w:rFonts w:ascii="Century Gothic" w:hAnsi="Century Gothic" w:cs="Arial"/>
          <w:sz w:val="22"/>
          <w:szCs w:val="22"/>
        </w:rPr>
        <w:t xml:space="preserve"> of another person by virtue of paragraph (7)(b)(ii) the criteria in paragraphs (2)(b)(iii), (4)(b) and (4A)(c) shall be considered on the basis that both P and the person with whom care responsibility is shared would be required to leave the United Kingdom.</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(7B) Paragraph (7A) does not apply if the person with whom care responsibility is shared acquired a derivative right to reside in the United Kingdom as a result of this regulation prior to P assuming equal care responsibility.</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(8) P will not be regarded as having responsibility for a person’s care for the purpose of paragraph (7) on the sole basis of a financial contribution towards that person’s care.</w:t>
      </w:r>
    </w:p>
    <w:p w:rsidR="00EA72BA" w:rsidRPr="00254F15" w:rsidRDefault="00EA72BA" w:rsidP="00EA72BA">
      <w:pPr>
        <w:pStyle w:val="legp2paratext"/>
        <w:shd w:val="clear" w:color="auto" w:fill="FFFFFF"/>
        <w:spacing w:before="0" w:beforeAutospacing="0" w:after="120" w:afterAutospacing="0" w:line="360" w:lineRule="atLeast"/>
        <w:ind w:firstLine="240"/>
        <w:jc w:val="both"/>
        <w:rPr>
          <w:rFonts w:ascii="Century Gothic" w:hAnsi="Century Gothic" w:cs="Arial"/>
          <w:sz w:val="22"/>
          <w:szCs w:val="22"/>
        </w:rPr>
      </w:pPr>
      <w:r w:rsidRPr="00254F15">
        <w:rPr>
          <w:rStyle w:val="amendedcolour"/>
          <w:rFonts w:ascii="Century Gothic" w:hAnsi="Century Gothic" w:cs="Arial"/>
          <w:sz w:val="22"/>
          <w:szCs w:val="22"/>
        </w:rPr>
        <w:t>(9) A person who otherwise satisfies the criteria in paragraph (2), (3), (4), (4A)</w:t>
      </w:r>
      <w:r w:rsidRPr="00254F15">
        <w:rPr>
          <w:rStyle w:val="apple-converted-space"/>
          <w:rFonts w:ascii="Century Gothic" w:hAnsi="Century Gothic" w:cs="Arial"/>
          <w:sz w:val="22"/>
          <w:szCs w:val="22"/>
        </w:rPr>
        <w:t> </w:t>
      </w:r>
      <w:r w:rsidRPr="00254F15">
        <w:rPr>
          <w:rStyle w:val="amendedcolour"/>
          <w:rFonts w:ascii="Century Gothic" w:hAnsi="Century Gothic" w:cs="Arial"/>
          <w:sz w:val="22"/>
          <w:szCs w:val="22"/>
        </w:rPr>
        <w:t>or (5) will not be entitled to a derivative right to reside in the United Kingdom where the Secretary of State or an immigration officer has made a decision under regulation 19(3)(b), 20(1), 20A(1) or 23A.</w:t>
      </w:r>
    </w:p>
    <w:p w:rsidR="00BF1CD4" w:rsidRPr="00254F15" w:rsidRDefault="00BF1CD4" w:rsidP="00B2407D">
      <w:pPr>
        <w:pStyle w:val="BodyText"/>
        <w:spacing w:after="0" w:line="360" w:lineRule="auto"/>
        <w:rPr>
          <w:rFonts w:ascii="Century Gothic" w:hAnsi="Century Gothic"/>
        </w:rPr>
      </w:pPr>
    </w:p>
    <w:p w:rsidR="0023083B" w:rsidRPr="00254F15" w:rsidRDefault="00E535BD" w:rsidP="0023083B">
      <w:pPr>
        <w:pStyle w:val="BodyText"/>
        <w:numPr>
          <w:ilvl w:val="0"/>
          <w:numId w:val="39"/>
        </w:numPr>
        <w:spacing w:after="0" w:line="360" w:lineRule="auto"/>
        <w:rPr>
          <w:rFonts w:ascii="Century Gothic" w:hAnsi="Century Gothic"/>
        </w:rPr>
      </w:pPr>
      <w:r w:rsidRPr="00254F15">
        <w:rPr>
          <w:rFonts w:ascii="Century Gothic" w:hAnsi="Century Gothic"/>
        </w:rPr>
        <w:t xml:space="preserve">Immigration Directorate Instruction Family migration: Appendix FM section 1.0b. Family life as a partner or parent and private life: 10 year </w:t>
      </w:r>
      <w:r w:rsidRPr="00254F15">
        <w:rPr>
          <w:rFonts w:ascii="Century Gothic" w:hAnsi="Century Gothic"/>
        </w:rPr>
        <w:lastRenderedPageBreak/>
        <w:t>routes</w:t>
      </w:r>
      <w:r w:rsidR="00254F15">
        <w:rPr>
          <w:rFonts w:ascii="Century Gothic" w:hAnsi="Century Gothic"/>
        </w:rPr>
        <w:t xml:space="preserve"> A</w:t>
      </w:r>
      <w:r w:rsidRPr="00254F15">
        <w:rPr>
          <w:rFonts w:ascii="Century Gothic" w:hAnsi="Century Gothic"/>
        </w:rPr>
        <w:t xml:space="preserve">pril 2015 (extracts) </w:t>
      </w:r>
      <w:r w:rsidR="00254F15" w:rsidRPr="00254F15">
        <w:rPr>
          <w:rFonts w:ascii="Century Gothic" w:hAnsi="Century Gothic"/>
        </w:rPr>
        <w:t xml:space="preserve"> </w:t>
      </w:r>
      <w:hyperlink r:id="rId10" w:history="1">
        <w:r w:rsidR="00254F15" w:rsidRPr="00254F15">
          <w:rPr>
            <w:rStyle w:val="Hyperlink"/>
            <w:rFonts w:ascii="Century Gothic" w:hAnsi="Century Gothic"/>
          </w:rPr>
          <w:t>https://www.gov.uk/government/uploads/system/uploads/attachment_data/file/421057/PP10b.pdf</w:t>
        </w:r>
      </w:hyperlink>
    </w:p>
    <w:p w:rsidR="00254F15" w:rsidRDefault="00254F15" w:rsidP="00254F15">
      <w:pPr>
        <w:pStyle w:val="BodyText"/>
        <w:spacing w:after="0" w:line="360" w:lineRule="auto"/>
        <w:ind w:left="720"/>
        <w:rPr>
          <w:rFonts w:ascii="Century Gothic" w:hAnsi="Century Gothic"/>
          <w:sz w:val="24"/>
          <w:szCs w:val="24"/>
        </w:rPr>
      </w:pP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9.3. Decision to grant leave to remain outside the Immigration Rules on the basis of exceptional circumstances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Longer grants of leave</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Settlement in the UK is a privilege, not an automatic entitlement. Unless there are truly exceptional reasons, the expectation is that applicants should serve a probationary period of limited leave before being eligible to apply for indefinite leave to remain (ILR) if they meet the requirements.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However, there may be rare cases in which a longer period of leave is considered appropriate, either because it is clearly in the best interests of a child (and any countervailing considerations do not outweigh those best interests), or because there are other particularly exceptional or compelling reasons to grant leave for a longer period (or ILR).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If the applicant specifically requests a longer period of leave than 30 months, or ILR, and provides reasons as to why they think a longer period of leave or ILR is appropriate in their case, the decision maker must consider this. See Section 11.3 of this guidance for information on how to make this decision if the applicant is a child or a parent.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In cases not involving children (as the main applicant or as dependants), there must be sufficient evidence to demonstrate the individual circumstances are not just unusual but can be distinguished to a high degree from other cases to the extent that it is necessary to deviate from a standard grant of 30 months’ leave to remain.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In all cases the onus is on the applicant to provide evidence as to why they believe that a longer period of leave (or ILR) is necessary and justified on the basis of particularly exceptional or compelling reasons Where the decision maker considers that a longer period of leave may be justified the case must be referred to a senior caseworker for further consideration. If the decision maker decides that the case is not sufficiently exceptional or compelling, they should grant 30 months’ leave outside the Rules, and explain in the decision letter why this has been granted.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lastRenderedPageBreak/>
        <w:t xml:space="preserve">If the applicant does not make a request for a longer than standard period of leave, or if they make a request without providing any reasons for why a longer grant of leave is appropriate, the decision maker should grant 30 months’ leave outside the Rules. </w:t>
      </w:r>
    </w:p>
    <w:p w:rsidR="00A207B8" w:rsidRPr="00E535BD" w:rsidRDefault="00E535BD" w:rsidP="00E535BD">
      <w:pPr>
        <w:pStyle w:val="BodyText"/>
        <w:spacing w:after="0" w:line="360" w:lineRule="auto"/>
        <w:rPr>
          <w:rFonts w:ascii="Century Gothic" w:hAnsi="Century Gothic"/>
        </w:rPr>
      </w:pPr>
      <w:r w:rsidRPr="00E535BD">
        <w:rPr>
          <w:rFonts w:ascii="Century Gothic" w:hAnsi="Century Gothic"/>
        </w:rPr>
        <w:t xml:space="preserve">Where leave outside the Rules is being granted for Article 8 family or private life reasons, this grant of leave will be subject to a condition of no recourse to public funds, unless the applicant meets the policy on when such a condition should not be applied. That will generally only be where the applicant is destitute, or where there are particularly compelling reasons relating to the welfare of a child of a parent in receipt of a very low income. </w:t>
      </w:r>
    </w:p>
    <w:p w:rsidR="00DC3CA0" w:rsidRPr="00E535BD" w:rsidRDefault="00E535BD" w:rsidP="00B2407D">
      <w:pPr>
        <w:pStyle w:val="BodyText"/>
        <w:spacing w:after="0" w:line="360" w:lineRule="auto"/>
        <w:rPr>
          <w:rFonts w:ascii="Century Gothic" w:hAnsi="Century Gothic"/>
        </w:rPr>
      </w:pPr>
      <w:r w:rsidRPr="00E535BD">
        <w:rPr>
          <w:rFonts w:ascii="Century Gothic" w:hAnsi="Century Gothic"/>
        </w:rPr>
        <w:t>11.3.1. Decision to grant leave to remain outside the Immigration Rules on the basis of exceptional circumstances relating to a child’s best interests (extract)</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The decision maker must also have regard to the best interests of the child as a primary consideration (but not the only or the paramount consideration) when deciding the period of leave to be granted.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Whilst the expectation is that a period of 30 months’ (2.5 years’) leave will generally be appropriate, there may be cases where evidence is provided demonstrating that a longer period of limited leave (or indefinite leave to remain (ILR)) is required in order to reflect the best interests of the individual child under consideration. A longer period of leave can be granted where the child meets the requirements of the rules (in which case they would be granted leave outside the rules for a longer period than 30 months) or where they fail to meet the requirements of the rules but there are exceptional circumstances in their case that warrant a grant of leave outside the Rules.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There is discretion to grant a longer period of leave where appropriate. There may be cases where a longer period of leave outside the Rules is considered appropriate, either because it is clearly in the best interests of a child (and any countervailing considerations do not outweigh those best interests), or because there are other particularly exceptional or compelling reasons to grant limited leave for a longer period, or to grant ILR. The onus is on the applicant to establish that the child’s best interests would not be met by a grant of 30 months’ leave to remain and that there are compelling reasons that require a different period of leave to be granted. This means that the decision maker should only consider whether to grant a longer period of </w:t>
      </w:r>
      <w:r w:rsidRPr="00E535BD">
        <w:rPr>
          <w:rFonts w:ascii="Century Gothic" w:hAnsi="Century Gothic"/>
        </w:rPr>
        <w:lastRenderedPageBreak/>
        <w:t xml:space="preserve">leave or ILR if (a) the applicant has specifically asked for this, and (b) they have provided their reasons for why they think a longer period of leave or ILR is appropriate. </w:t>
      </w:r>
    </w:p>
    <w:p w:rsidR="00E535BD" w:rsidRPr="00E535BD" w:rsidRDefault="00E535BD" w:rsidP="00B2407D">
      <w:pPr>
        <w:pStyle w:val="BodyText"/>
        <w:spacing w:after="0" w:line="360" w:lineRule="auto"/>
        <w:rPr>
          <w:rFonts w:ascii="Century Gothic" w:hAnsi="Century Gothic"/>
        </w:rPr>
      </w:pPr>
      <w:r w:rsidRPr="00E535BD">
        <w:rPr>
          <w:rFonts w:ascii="Century Gothic" w:hAnsi="Century Gothic"/>
        </w:rPr>
        <w:t xml:space="preserve">In considering the period of leave to be granted, factors such as the length of residence in the UK, whether the child was born in the UK and strong evidence to suggest that the child’s life would be adversely affected by a grant of limited leave rather than ILR are relevant. The conduct of the child’s parent(s) or primary </w:t>
      </w:r>
      <w:proofErr w:type="spellStart"/>
      <w:r w:rsidRPr="00E535BD">
        <w:rPr>
          <w:rFonts w:ascii="Century Gothic" w:hAnsi="Century Gothic"/>
        </w:rPr>
        <w:t>carer</w:t>
      </w:r>
      <w:proofErr w:type="spellEnd"/>
      <w:r w:rsidRPr="00E535BD">
        <w:rPr>
          <w:rFonts w:ascii="Century Gothic" w:hAnsi="Century Gothic"/>
        </w:rPr>
        <w:t xml:space="preserve"> and their immigration history, and the public interest in maintaining fair, consistent and coherent immigration controls, are all relevant considerations as to the length of leave granted. </w:t>
      </w:r>
    </w:p>
    <w:p w:rsidR="00DC3CA0" w:rsidRDefault="00DC3CA0" w:rsidP="00B2407D">
      <w:pPr>
        <w:pStyle w:val="BodyText"/>
        <w:spacing w:after="0" w:line="360" w:lineRule="auto"/>
      </w:pPr>
    </w:p>
    <w:p w:rsidR="00254F15" w:rsidRPr="00254F15" w:rsidRDefault="00254F15" w:rsidP="00254F15">
      <w:pPr>
        <w:pStyle w:val="BodyText"/>
        <w:numPr>
          <w:ilvl w:val="0"/>
          <w:numId w:val="39"/>
        </w:numPr>
        <w:spacing w:after="0" w:line="360" w:lineRule="auto"/>
        <w:rPr>
          <w:rFonts w:ascii="Century Gothic" w:hAnsi="Century Gothic"/>
        </w:rPr>
      </w:pPr>
      <w:r w:rsidRPr="00254F15">
        <w:rPr>
          <w:rFonts w:ascii="Century Gothic" w:hAnsi="Century Gothic"/>
        </w:rPr>
        <w:t>UNCRC</w:t>
      </w:r>
    </w:p>
    <w:p w:rsidR="00600EFD" w:rsidRPr="00254F15" w:rsidRDefault="00600EFD" w:rsidP="00600EFD">
      <w:pPr>
        <w:suppressAutoHyphens/>
        <w:spacing w:line="360" w:lineRule="auto"/>
        <w:rPr>
          <w:rFonts w:ascii="Century Gothic" w:hAnsi="Century Gothic" w:cs="Arial"/>
        </w:rPr>
      </w:pPr>
      <w:r w:rsidRPr="00254F15">
        <w:rPr>
          <w:rFonts w:ascii="Century Gothic" w:hAnsi="Century Gothic" w:cs="Arial"/>
        </w:rPr>
        <w:t>Article 3(1) of the Convention on the Rights of the Child [UNCRC] provides as follows:</w:t>
      </w:r>
    </w:p>
    <w:p w:rsidR="00600EFD" w:rsidRPr="00254F15" w:rsidRDefault="00600EFD" w:rsidP="00600EFD">
      <w:pPr>
        <w:spacing w:before="120"/>
        <w:ind w:left="1304"/>
        <w:rPr>
          <w:rFonts w:ascii="Century Gothic" w:hAnsi="Century Gothic" w:cs="Arial"/>
        </w:rPr>
      </w:pPr>
      <w:r w:rsidRPr="00254F15">
        <w:rPr>
          <w:rFonts w:ascii="Century Gothic" w:hAnsi="Century Gothic" w:cs="Arial"/>
          <w:i/>
        </w:rPr>
        <w:t>In all actions concerning children, whether undertaken by public or private social welfare institutions, courts of law, administrative authorities or legislative bodies, the best interests of the child shall be a primary consideration</w:t>
      </w:r>
      <w:r w:rsidRPr="00254F15">
        <w:rPr>
          <w:rFonts w:ascii="Century Gothic" w:hAnsi="Century Gothic" w:cs="Arial"/>
        </w:rPr>
        <w:t>.</w:t>
      </w:r>
    </w:p>
    <w:p w:rsidR="00600EFD" w:rsidRPr="00254F15" w:rsidRDefault="00600EFD" w:rsidP="00600EFD">
      <w:pPr>
        <w:spacing w:line="360" w:lineRule="auto"/>
        <w:rPr>
          <w:rFonts w:ascii="Century Gothic" w:hAnsi="Century Gothic" w:cs="Arial"/>
          <w:iCs/>
        </w:rPr>
      </w:pPr>
    </w:p>
    <w:p w:rsidR="00600EFD" w:rsidRPr="00254F15" w:rsidRDefault="00600EFD" w:rsidP="00600EFD">
      <w:pPr>
        <w:spacing w:line="360" w:lineRule="auto"/>
        <w:rPr>
          <w:rFonts w:ascii="Century Gothic" w:hAnsi="Century Gothic" w:cs="Arial"/>
          <w:iCs/>
          <w:highlight w:val="yellow"/>
        </w:rPr>
      </w:pPr>
    </w:p>
    <w:p w:rsidR="00600EFD" w:rsidRPr="00254F15" w:rsidRDefault="00600EFD" w:rsidP="00600EFD">
      <w:pPr>
        <w:spacing w:after="200"/>
        <w:contextualSpacing/>
        <w:rPr>
          <w:rFonts w:ascii="Century Gothic" w:hAnsi="Century Gothic" w:cs="Arial"/>
          <w:bCs/>
          <w:iCs/>
        </w:rPr>
      </w:pPr>
      <w:r w:rsidRPr="00254F15">
        <w:rPr>
          <w:rFonts w:ascii="Century Gothic" w:hAnsi="Century Gothic" w:cs="Arial"/>
          <w:bCs/>
          <w:iCs/>
        </w:rPr>
        <w:t>Article 4 of the Convention on the Rights of the Child provides:</w:t>
      </w:r>
    </w:p>
    <w:p w:rsidR="00600EFD" w:rsidRPr="00254F15" w:rsidRDefault="00600EFD" w:rsidP="00600EFD">
      <w:pPr>
        <w:widowControl w:val="0"/>
        <w:autoSpaceDE w:val="0"/>
        <w:autoSpaceDN w:val="0"/>
        <w:adjustRightInd w:val="0"/>
        <w:spacing w:after="240"/>
        <w:rPr>
          <w:rFonts w:ascii="Century Gothic" w:hAnsi="Century Gothic" w:cs="Arial"/>
          <w:i/>
          <w:lang w:val="en-US"/>
        </w:rPr>
      </w:pPr>
      <w:proofErr w:type="gramStart"/>
      <w:r w:rsidRPr="00254F15">
        <w:rPr>
          <w:rFonts w:ascii="Century Gothic" w:hAnsi="Century Gothic" w:cs="Arial"/>
          <w:i/>
          <w:lang w:val="en-US"/>
        </w:rPr>
        <w:t>States Parties shall undertake all appropriate legislative, administrative, and other measures for the implementation of the rights recognized in the present Convention.</w:t>
      </w:r>
      <w:proofErr w:type="gramEnd"/>
      <w:r w:rsidRPr="00254F15">
        <w:rPr>
          <w:rFonts w:ascii="Century Gothic" w:hAnsi="Century Gothic" w:cs="Arial"/>
          <w:i/>
          <w:lang w:val="en-US"/>
        </w:rPr>
        <w:t xml:space="preserve"> With regard to economic, social and cultural rights, States Parties shall undertake such measures to the maximum extent of their available resources and, where needed, within the framework of international cooperation.</w:t>
      </w:r>
    </w:p>
    <w:p w:rsidR="00DC3CA0" w:rsidRPr="00254F15" w:rsidRDefault="00DC3CA0" w:rsidP="00600EFD">
      <w:pPr>
        <w:spacing w:after="180"/>
        <w:rPr>
          <w:rFonts w:ascii="Century Gothic" w:hAnsi="Century Gothic"/>
        </w:rPr>
      </w:pPr>
      <w:r w:rsidRPr="00254F15">
        <w:rPr>
          <w:rFonts w:ascii="Century Gothic" w:hAnsi="Century Gothic"/>
        </w:rPr>
        <w:br w:type="page"/>
      </w:r>
    </w:p>
    <w:p w:rsidR="00600EFD" w:rsidRPr="00600EFD" w:rsidRDefault="00600EFD" w:rsidP="00600EFD">
      <w:pPr>
        <w:spacing w:line="360" w:lineRule="auto"/>
        <w:rPr>
          <w:rFonts w:ascii="Century Gothic" w:hAnsi="Century Gothic" w:cs="Arial"/>
          <w:iCs/>
          <w:sz w:val="24"/>
          <w:szCs w:val="24"/>
        </w:rPr>
      </w:pPr>
      <w:r w:rsidRPr="00254F15">
        <w:rPr>
          <w:rFonts w:ascii="Century Gothic" w:hAnsi="Century Gothic" w:cs="Arial"/>
          <w:iCs/>
        </w:rPr>
        <w:lastRenderedPageBreak/>
        <w:t>General comment No. 14 (2013) on the right of t</w:t>
      </w:r>
      <w:r w:rsidRPr="00600EFD">
        <w:rPr>
          <w:rFonts w:ascii="Century Gothic" w:hAnsi="Century Gothic" w:cs="Arial"/>
          <w:iCs/>
          <w:sz w:val="24"/>
          <w:szCs w:val="24"/>
        </w:rPr>
        <w:t xml:space="preserve">he child to have his or her best interests taken as a primary consideration (art. 3, </w:t>
      </w:r>
      <w:proofErr w:type="spellStart"/>
      <w:r w:rsidRPr="00600EFD">
        <w:rPr>
          <w:rFonts w:ascii="Century Gothic" w:hAnsi="Century Gothic" w:cs="Arial"/>
          <w:iCs/>
          <w:sz w:val="24"/>
          <w:szCs w:val="24"/>
        </w:rPr>
        <w:t>para</w:t>
      </w:r>
      <w:proofErr w:type="spellEnd"/>
      <w:r w:rsidRPr="00600EFD">
        <w:rPr>
          <w:rFonts w:ascii="Century Gothic" w:hAnsi="Century Gothic" w:cs="Arial"/>
          <w:iCs/>
          <w:sz w:val="24"/>
          <w:szCs w:val="24"/>
        </w:rPr>
        <w:t xml:space="preserve">. 1): </w:t>
      </w:r>
    </w:p>
    <w:p w:rsidR="00600EFD" w:rsidRPr="00600EFD" w:rsidRDefault="00B07884" w:rsidP="00600EFD">
      <w:pPr>
        <w:pStyle w:val="BodyText"/>
        <w:spacing w:after="0" w:line="360" w:lineRule="auto"/>
        <w:rPr>
          <w:rFonts w:ascii="Century Gothic" w:hAnsi="Century Gothic"/>
          <w:sz w:val="20"/>
          <w:szCs w:val="20"/>
        </w:rPr>
      </w:pPr>
      <w:hyperlink r:id="rId11" w:history="1">
        <w:r w:rsidR="00600EFD" w:rsidRPr="00600EFD">
          <w:rPr>
            <w:rStyle w:val="Hyperlink"/>
            <w:rFonts w:ascii="Century Gothic" w:hAnsi="Century Gothic"/>
            <w:sz w:val="20"/>
            <w:szCs w:val="20"/>
          </w:rPr>
          <w:t>http://www2.ohchr.org/English/bodies/crc/docs/GC/CRC_C_GC_14_ENG.pdf</w:t>
        </w:r>
      </w:hyperlink>
    </w:p>
    <w:p w:rsidR="004C7D0D" w:rsidRPr="00254F15" w:rsidRDefault="004C7D0D" w:rsidP="004C7D0D">
      <w:pPr>
        <w:pStyle w:val="NormalWeb"/>
        <w:spacing w:line="360" w:lineRule="auto"/>
        <w:rPr>
          <w:rFonts w:ascii="Century Gothic" w:hAnsi="Century Gothic" w:cs="Tahoma"/>
          <w:sz w:val="22"/>
          <w:szCs w:val="22"/>
        </w:rPr>
      </w:pPr>
      <w:r w:rsidRPr="00254F15">
        <w:rPr>
          <w:rFonts w:ascii="Century Gothic" w:hAnsi="Century Gothic" w:cs="Tahoma"/>
          <w:sz w:val="22"/>
          <w:szCs w:val="22"/>
        </w:rPr>
        <w:t xml:space="preserve">On 29 May 2013 the UN Committee on the Rights of the Child </w:t>
      </w:r>
      <w:proofErr w:type="gramStart"/>
      <w:r w:rsidRPr="00254F15">
        <w:rPr>
          <w:rFonts w:ascii="Century Gothic" w:hAnsi="Century Gothic" w:cs="Tahoma"/>
          <w:sz w:val="22"/>
          <w:szCs w:val="22"/>
        </w:rPr>
        <w:t>( the</w:t>
      </w:r>
      <w:proofErr w:type="gramEnd"/>
      <w:r w:rsidRPr="00254F15">
        <w:rPr>
          <w:rFonts w:ascii="Century Gothic" w:hAnsi="Century Gothic" w:cs="Tahoma"/>
          <w:sz w:val="22"/>
          <w:szCs w:val="22"/>
        </w:rPr>
        <w:t xml:space="preserve"> Committee) issued General comment No. 14 (2013) on the right of the child to have his or her best interests taken as a primary consideration. The Committee identified article 3, paragraph 1, as one of the four general principles of the Convention for interpreting and implementing all the rights of the child and applies it as a dynamic concept that requires an assessment appropriate to the specific context.</w:t>
      </w:r>
    </w:p>
    <w:p w:rsidR="004C7D0D" w:rsidRPr="00254F15" w:rsidRDefault="004C7D0D" w:rsidP="004C7D0D">
      <w:pPr>
        <w:pStyle w:val="NormalWeb"/>
        <w:spacing w:line="360" w:lineRule="auto"/>
        <w:rPr>
          <w:rFonts w:ascii="Century Gothic" w:hAnsi="Century Gothic" w:cs="Tahoma"/>
          <w:sz w:val="22"/>
          <w:szCs w:val="22"/>
        </w:rPr>
      </w:pPr>
      <w:r w:rsidRPr="00254F15">
        <w:rPr>
          <w:rFonts w:ascii="Century Gothic" w:hAnsi="Century Gothic" w:cs="Tahoma"/>
          <w:sz w:val="22"/>
          <w:szCs w:val="22"/>
        </w:rPr>
        <w:t>The Committee underlines that the child's best interests is a threefold concept:</w:t>
      </w:r>
    </w:p>
    <w:p w:rsidR="004C7D0D" w:rsidRPr="00254F15" w:rsidRDefault="004C7D0D" w:rsidP="004C7D0D">
      <w:pPr>
        <w:pStyle w:val="NormalWeb"/>
        <w:spacing w:line="360" w:lineRule="auto"/>
        <w:rPr>
          <w:rFonts w:ascii="Century Gothic" w:hAnsi="Century Gothic" w:cs="Tahoma"/>
          <w:sz w:val="22"/>
          <w:szCs w:val="22"/>
        </w:rPr>
      </w:pPr>
      <w:r w:rsidRPr="00254F15">
        <w:rPr>
          <w:rFonts w:ascii="Century Gothic" w:hAnsi="Century Gothic" w:cs="Tahoma"/>
          <w:sz w:val="22"/>
          <w:szCs w:val="22"/>
        </w:rPr>
        <w:t>(a) A substantive right: The right of the child to have his or her best interests assessed and taken as a primary consideration when different interests are being considered in order to reach a decision on the issue at stake, and the guarantee that this right will be implemented whenever a decision is to be made concerning a child, a group of identified or unidentified children or children in general. Article 3, paragraph 1, creates an intrinsic obligation for States, is directly applicable (self-executing) and can be invoked before a court.</w:t>
      </w:r>
      <w:r w:rsidRPr="00254F15">
        <w:rPr>
          <w:rFonts w:ascii="Century Gothic" w:hAnsi="Century Gothic" w:cs="Tahoma"/>
          <w:sz w:val="22"/>
          <w:szCs w:val="22"/>
        </w:rPr>
        <w:br/>
        <w:t>(b) A fundamental, interpretative legal principle: If a legal provision is open to more than one interpretation, the interpretation which most effectively serves the child’s best interests should be chosen. The rights enshrined in the Convention and its Optional Protocols provide the framework for interpretation.</w:t>
      </w:r>
    </w:p>
    <w:p w:rsidR="004C7D0D" w:rsidRPr="00254F15" w:rsidRDefault="004C7D0D" w:rsidP="004C7D0D">
      <w:pPr>
        <w:pStyle w:val="NormalWeb"/>
        <w:spacing w:line="360" w:lineRule="auto"/>
        <w:rPr>
          <w:rFonts w:ascii="Century Gothic" w:hAnsi="Century Gothic" w:cs="Tahoma"/>
          <w:sz w:val="22"/>
          <w:szCs w:val="22"/>
        </w:rPr>
      </w:pPr>
      <w:r w:rsidRPr="00254F15">
        <w:rPr>
          <w:rFonts w:ascii="Century Gothic" w:hAnsi="Century Gothic" w:cs="Tahoma"/>
          <w:sz w:val="22"/>
          <w:szCs w:val="22"/>
        </w:rPr>
        <w:t xml:space="preserve">(c) A rule of procedure: Whenever a decision is to be made that will affect a specific child, an identified group of children or children in general, the decision-making process must include an evaluation of the possible impact (positive or negative) of the decision on the child or children concerned. Assessing and determining the best interests of the child require procedural guarantees. Furthermore, the justification of a decision must show that the right has been explicitly taken into account. In this regard, States parties shall </w:t>
      </w:r>
      <w:r w:rsidRPr="00254F15">
        <w:rPr>
          <w:rFonts w:ascii="Century Gothic" w:hAnsi="Century Gothic" w:cs="Tahoma"/>
          <w:sz w:val="22"/>
          <w:szCs w:val="22"/>
        </w:rPr>
        <w:lastRenderedPageBreak/>
        <w:t>explain how the right has been respected in the decision, that is, what has been considered to be in the child’s best interests; what criteria it is based on; and how the child’s interests have been weighed against other considerations, be they broad issues of policy or individual cases.</w:t>
      </w:r>
    </w:p>
    <w:p w:rsidR="004C7D0D" w:rsidRPr="00254F15" w:rsidRDefault="004C7D0D" w:rsidP="00B2407D">
      <w:pPr>
        <w:pStyle w:val="BodyText"/>
        <w:spacing w:after="0" w:line="360" w:lineRule="auto"/>
        <w:rPr>
          <w:rFonts w:ascii="Century Gothic" w:hAnsi="Century Gothic"/>
        </w:rPr>
      </w:pPr>
    </w:p>
    <w:sectPr w:rsidR="004C7D0D" w:rsidRPr="00254F15" w:rsidSect="0045108D">
      <w:footerReference w:type="default" r:id="rId12"/>
      <w:footerReference w:type="first" r:id="rId13"/>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95" w:rsidRDefault="00512D95" w:rsidP="00B04144">
      <w:r>
        <w:separator/>
      </w:r>
    </w:p>
  </w:endnote>
  <w:endnote w:type="continuationSeparator" w:id="0">
    <w:p w:rsidR="00512D95" w:rsidRDefault="00512D95" w:rsidP="00B04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8"/>
    </w:tblGrid>
    <w:tr w:rsidR="002871E9" w:rsidTr="00AC6724">
      <w:sdt>
        <w:sdtPr>
          <w:alias w:val="Outline Content"/>
          <w:tag w:val="52D1F337EA354569A9C2E4D5BCB75A59"/>
          <w:id w:val="1204519815"/>
          <w:placeholder>
            <w:docPart w:val="A2E78C6DD5B5490A9D16BF83B0B5A85C"/>
          </w:placeholder>
          <w:showingPlcHdr/>
          <w:text w:multiLine="1"/>
        </w:sdtPr>
        <w:sdtContent>
          <w:tc>
            <w:tcPr>
              <w:tcW w:w="4621" w:type="dxa"/>
            </w:tcPr>
            <w:p w:rsidR="002871E9" w:rsidRDefault="002871E9" w:rsidP="00AC6724">
              <w:pPr>
                <w:pStyle w:val="Footer"/>
              </w:pPr>
            </w:p>
          </w:tc>
        </w:sdtContent>
      </w:sdt>
      <w:tc>
        <w:tcPr>
          <w:tcW w:w="4621" w:type="dxa"/>
        </w:tcPr>
        <w:p w:rsidR="002871E9" w:rsidRDefault="00B07884" w:rsidP="00AC6724">
          <w:pPr>
            <w:pStyle w:val="Footer"/>
            <w:jc w:val="right"/>
          </w:pPr>
          <w:r>
            <w:rPr>
              <w:szCs w:val="18"/>
            </w:rPr>
            <w:fldChar w:fldCharType="begin"/>
          </w:r>
          <w:r w:rsidR="002871E9">
            <w:rPr>
              <w:szCs w:val="18"/>
            </w:rPr>
            <w:instrText xml:space="preserve"> PAGE </w:instrText>
          </w:r>
          <w:r>
            <w:rPr>
              <w:szCs w:val="18"/>
            </w:rPr>
            <w:fldChar w:fldCharType="separate"/>
          </w:r>
          <w:r w:rsidR="00CA59C6">
            <w:rPr>
              <w:noProof/>
              <w:szCs w:val="18"/>
            </w:rPr>
            <w:t>1</w:t>
          </w:r>
          <w:r>
            <w:rPr>
              <w:szCs w:val="18"/>
            </w:rPr>
            <w:fldChar w:fldCharType="end"/>
          </w:r>
        </w:p>
      </w:tc>
    </w:tr>
  </w:tbl>
  <w:p w:rsidR="002871E9" w:rsidRPr="00AC6724" w:rsidRDefault="002871E9" w:rsidP="00AC6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tblPr>
    <w:tblGrid>
      <w:gridCol w:w="4266"/>
      <w:gridCol w:w="4262"/>
    </w:tblGrid>
    <w:tr w:rsidR="002871E9" w:rsidRPr="00150091" w:rsidTr="00617CE9">
      <w:tc>
        <w:tcPr>
          <w:tcW w:w="4621" w:type="dxa"/>
        </w:tcPr>
        <w:p w:rsidR="002871E9" w:rsidRPr="00150091" w:rsidRDefault="002871E9" w:rsidP="00150091">
          <w:pPr>
            <w:rPr>
              <w:sz w:val="18"/>
              <w:szCs w:val="18"/>
            </w:rPr>
          </w:pPr>
          <w:r w:rsidRPr="00150091">
            <w:rPr>
              <w:sz w:val="18"/>
              <w:szCs w:val="18"/>
            </w:rPr>
            <w:t>.</w:t>
          </w:r>
        </w:p>
      </w:tc>
      <w:tc>
        <w:tcPr>
          <w:tcW w:w="4621" w:type="dxa"/>
        </w:tcPr>
        <w:p w:rsidR="002871E9" w:rsidRPr="00150091" w:rsidRDefault="002871E9" w:rsidP="00150091">
          <w:pPr>
            <w:jc w:val="right"/>
            <w:rPr>
              <w:sz w:val="18"/>
              <w:szCs w:val="18"/>
            </w:rPr>
          </w:pPr>
        </w:p>
      </w:tc>
    </w:tr>
  </w:tbl>
  <w:p w:rsidR="002871E9" w:rsidRPr="00150091" w:rsidRDefault="002871E9" w:rsidP="001500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95" w:rsidRDefault="00512D95" w:rsidP="00B04144">
      <w:r>
        <w:separator/>
      </w:r>
    </w:p>
  </w:footnote>
  <w:footnote w:type="continuationSeparator" w:id="0">
    <w:p w:rsidR="00512D95" w:rsidRDefault="00512D95" w:rsidP="00B04144">
      <w:r>
        <w:continuationSeparator/>
      </w:r>
    </w:p>
  </w:footnote>
  <w:footnote w:id="1">
    <w:p w:rsidR="002871E9" w:rsidRPr="00FE33BA" w:rsidRDefault="002871E9" w:rsidP="00006007">
      <w:pPr>
        <w:pStyle w:val="FootnoteText"/>
        <w:rPr>
          <w:sz w:val="16"/>
          <w:szCs w:val="16"/>
        </w:rPr>
      </w:pPr>
      <w:r>
        <w:rPr>
          <w:rStyle w:val="FootnoteReference"/>
        </w:rPr>
        <w:footnoteRef/>
      </w:r>
      <w:r w:rsidRPr="00FE33BA">
        <w:rPr>
          <w:sz w:val="16"/>
          <w:szCs w:val="16"/>
        </w:rPr>
        <w:t xml:space="preserve"> (</w:t>
      </w:r>
      <w:proofErr w:type="gramStart"/>
      <w:r w:rsidRPr="00FE33BA">
        <w:rPr>
          <w:sz w:val="16"/>
          <w:szCs w:val="16"/>
        </w:rPr>
        <w:t>see</w:t>
      </w:r>
      <w:proofErr w:type="gramEnd"/>
      <w:r w:rsidRPr="00FE33BA">
        <w:rPr>
          <w:sz w:val="16"/>
          <w:szCs w:val="16"/>
        </w:rPr>
        <w:t xml:space="preserve"> </w:t>
      </w:r>
      <w:proofErr w:type="spellStart"/>
      <w:r w:rsidRPr="00FE33BA">
        <w:rPr>
          <w:sz w:val="16"/>
          <w:szCs w:val="16"/>
        </w:rPr>
        <w:t>Ajdukovic</w:t>
      </w:r>
      <w:proofErr w:type="spellEnd"/>
      <w:r w:rsidRPr="00FE33BA">
        <w:rPr>
          <w:sz w:val="16"/>
          <w:szCs w:val="16"/>
        </w:rPr>
        <w:t xml:space="preserve">, M., &amp; </w:t>
      </w:r>
      <w:proofErr w:type="spellStart"/>
      <w:r w:rsidRPr="00FE33BA">
        <w:rPr>
          <w:sz w:val="16"/>
          <w:szCs w:val="16"/>
        </w:rPr>
        <w:t>Ajdukovic</w:t>
      </w:r>
      <w:proofErr w:type="spellEnd"/>
      <w:r w:rsidRPr="00FE33BA">
        <w:rPr>
          <w:sz w:val="16"/>
          <w:szCs w:val="16"/>
        </w:rPr>
        <w:t xml:space="preserve">, D. (1993). </w:t>
      </w:r>
      <w:proofErr w:type="gramStart"/>
      <w:r w:rsidRPr="00FE33BA">
        <w:rPr>
          <w:sz w:val="16"/>
          <w:szCs w:val="16"/>
        </w:rPr>
        <w:t>Psychological well-being of refugee children.</w:t>
      </w:r>
      <w:proofErr w:type="gramEnd"/>
      <w:r w:rsidRPr="00FE33BA">
        <w:rPr>
          <w:sz w:val="16"/>
          <w:szCs w:val="16"/>
        </w:rPr>
        <w:t xml:space="preserve"> </w:t>
      </w:r>
      <w:r w:rsidRPr="00FE33BA">
        <w:rPr>
          <w:i/>
          <w:sz w:val="16"/>
          <w:szCs w:val="16"/>
        </w:rPr>
        <w:t>Child Abuse and Neglect, 17,</w:t>
      </w:r>
      <w:r w:rsidRPr="00FE33BA">
        <w:rPr>
          <w:sz w:val="16"/>
          <w:szCs w:val="16"/>
        </w:rPr>
        <w:t xml:space="preserve"> 843–854.</w:t>
      </w:r>
    </w:p>
    <w:p w:rsidR="002871E9" w:rsidRPr="00FE33BA" w:rsidRDefault="002871E9" w:rsidP="00006007">
      <w:pPr>
        <w:pStyle w:val="FootnoteText"/>
        <w:rPr>
          <w:i/>
          <w:sz w:val="16"/>
          <w:szCs w:val="16"/>
        </w:rPr>
      </w:pPr>
      <w:proofErr w:type="spellStart"/>
      <w:proofErr w:type="gramStart"/>
      <w:r w:rsidRPr="00FE33BA">
        <w:rPr>
          <w:sz w:val="16"/>
          <w:szCs w:val="16"/>
        </w:rPr>
        <w:t>Almqvist</w:t>
      </w:r>
      <w:proofErr w:type="spellEnd"/>
      <w:r w:rsidRPr="00FE33BA">
        <w:rPr>
          <w:sz w:val="16"/>
          <w:szCs w:val="16"/>
        </w:rPr>
        <w:t xml:space="preserve">, K., &amp; </w:t>
      </w:r>
      <w:proofErr w:type="spellStart"/>
      <w:r w:rsidRPr="00FE33BA">
        <w:rPr>
          <w:sz w:val="16"/>
          <w:szCs w:val="16"/>
        </w:rPr>
        <w:t>Broberg</w:t>
      </w:r>
      <w:proofErr w:type="spellEnd"/>
      <w:r w:rsidRPr="00FE33BA">
        <w:rPr>
          <w:sz w:val="16"/>
          <w:szCs w:val="16"/>
        </w:rPr>
        <w:t>, A.G. (1999).</w:t>
      </w:r>
      <w:proofErr w:type="gramEnd"/>
      <w:r w:rsidRPr="00FE33BA">
        <w:rPr>
          <w:sz w:val="16"/>
          <w:szCs w:val="16"/>
        </w:rPr>
        <w:t xml:space="preserve"> </w:t>
      </w:r>
      <w:proofErr w:type="gramStart"/>
      <w:r w:rsidRPr="00FE33BA">
        <w:rPr>
          <w:sz w:val="16"/>
          <w:szCs w:val="16"/>
        </w:rPr>
        <w:t>Mental health and social adjustment in young refugee children 3½ years after their arrival in Sweden</w:t>
      </w:r>
      <w:r w:rsidRPr="00FE33BA">
        <w:rPr>
          <w:i/>
          <w:sz w:val="16"/>
          <w:szCs w:val="16"/>
        </w:rPr>
        <w:t>.</w:t>
      </w:r>
      <w:proofErr w:type="gramEnd"/>
      <w:r w:rsidRPr="00FE33BA">
        <w:rPr>
          <w:i/>
          <w:sz w:val="16"/>
          <w:szCs w:val="16"/>
        </w:rPr>
        <w:t xml:space="preserve"> Journal of the American Academy of Child and Adolescent Psychiatry, 38,#</w:t>
      </w:r>
    </w:p>
    <w:p w:rsidR="002871E9" w:rsidRPr="00FE33BA" w:rsidRDefault="002871E9" w:rsidP="00006007">
      <w:pPr>
        <w:pStyle w:val="FootnoteText"/>
        <w:rPr>
          <w:sz w:val="16"/>
          <w:szCs w:val="16"/>
        </w:rPr>
      </w:pPr>
      <w:proofErr w:type="spellStart"/>
      <w:proofErr w:type="gramStart"/>
      <w:r w:rsidRPr="00FE33BA">
        <w:rPr>
          <w:sz w:val="16"/>
          <w:szCs w:val="16"/>
        </w:rPr>
        <w:t>Qouta</w:t>
      </w:r>
      <w:proofErr w:type="spellEnd"/>
      <w:r w:rsidRPr="00FE33BA">
        <w:rPr>
          <w:sz w:val="16"/>
          <w:szCs w:val="16"/>
        </w:rPr>
        <w:t xml:space="preserve">, S., </w:t>
      </w:r>
      <w:proofErr w:type="spellStart"/>
      <w:r w:rsidRPr="00FE33BA">
        <w:rPr>
          <w:sz w:val="16"/>
          <w:szCs w:val="16"/>
        </w:rPr>
        <w:t>Punama¨ki</w:t>
      </w:r>
      <w:proofErr w:type="spellEnd"/>
      <w:r w:rsidRPr="00FE33BA">
        <w:rPr>
          <w:sz w:val="16"/>
          <w:szCs w:val="16"/>
        </w:rPr>
        <w:t xml:space="preserve">, R.L., &amp; </w:t>
      </w:r>
      <w:proofErr w:type="spellStart"/>
      <w:r w:rsidRPr="00FE33BA">
        <w:rPr>
          <w:sz w:val="16"/>
          <w:szCs w:val="16"/>
        </w:rPr>
        <w:t>Sarraj</w:t>
      </w:r>
      <w:proofErr w:type="spellEnd"/>
      <w:r w:rsidRPr="00FE33BA">
        <w:rPr>
          <w:sz w:val="16"/>
          <w:szCs w:val="16"/>
        </w:rPr>
        <w:t>, E.E. (2005).</w:t>
      </w:r>
      <w:proofErr w:type="gramEnd"/>
      <w:r w:rsidRPr="00FE33BA">
        <w:rPr>
          <w:sz w:val="16"/>
          <w:szCs w:val="16"/>
        </w:rPr>
        <w:t xml:space="preserve"> Mother–child expression of psychological distress in</w:t>
      </w:r>
    </w:p>
    <w:p w:rsidR="002871E9" w:rsidRPr="00FE33BA" w:rsidRDefault="002871E9" w:rsidP="00006007">
      <w:pPr>
        <w:pStyle w:val="FootnoteText"/>
        <w:rPr>
          <w:sz w:val="16"/>
          <w:szCs w:val="16"/>
        </w:rPr>
      </w:pPr>
      <w:proofErr w:type="gramStart"/>
      <w:r w:rsidRPr="00FE33BA">
        <w:rPr>
          <w:sz w:val="16"/>
          <w:szCs w:val="16"/>
        </w:rPr>
        <w:t>war</w:t>
      </w:r>
      <w:proofErr w:type="gramEnd"/>
      <w:r w:rsidRPr="00FE33BA">
        <w:rPr>
          <w:sz w:val="16"/>
          <w:szCs w:val="16"/>
        </w:rPr>
        <w:t xml:space="preserve"> </w:t>
      </w:r>
      <w:proofErr w:type="spellStart"/>
      <w:r w:rsidRPr="00FE33BA">
        <w:rPr>
          <w:sz w:val="16"/>
          <w:szCs w:val="16"/>
        </w:rPr>
        <w:t>trauma.</w:t>
      </w:r>
      <w:r w:rsidRPr="00FE33BA">
        <w:rPr>
          <w:i/>
          <w:sz w:val="16"/>
          <w:szCs w:val="16"/>
        </w:rPr>
        <w:t>Clinical</w:t>
      </w:r>
      <w:proofErr w:type="spellEnd"/>
      <w:r w:rsidRPr="00FE33BA">
        <w:rPr>
          <w:i/>
          <w:sz w:val="16"/>
          <w:szCs w:val="16"/>
        </w:rPr>
        <w:t xml:space="preserve"> Child Psychology and Psychiatry, 10,</w:t>
      </w:r>
      <w:r w:rsidRPr="00FE33BA">
        <w:rPr>
          <w:sz w:val="16"/>
          <w:szCs w:val="16"/>
        </w:rPr>
        <w:t xml:space="preserve"> 135–156.</w:t>
      </w:r>
    </w:p>
    <w:p w:rsidR="002871E9" w:rsidRPr="00FE33BA" w:rsidRDefault="002871E9" w:rsidP="00006007">
      <w:pPr>
        <w:pStyle w:val="FootnoteText"/>
        <w:rPr>
          <w:sz w:val="16"/>
          <w:szCs w:val="16"/>
        </w:rPr>
      </w:pPr>
      <w:proofErr w:type="spellStart"/>
      <w:proofErr w:type="gramStart"/>
      <w:r w:rsidRPr="00FE33BA">
        <w:rPr>
          <w:sz w:val="16"/>
          <w:szCs w:val="16"/>
        </w:rPr>
        <w:t>Silove</w:t>
      </w:r>
      <w:proofErr w:type="spellEnd"/>
      <w:r w:rsidRPr="00FE33BA">
        <w:rPr>
          <w:sz w:val="16"/>
          <w:szCs w:val="16"/>
        </w:rPr>
        <w:t xml:space="preserve"> et al. (1997).</w:t>
      </w:r>
      <w:proofErr w:type="gramEnd"/>
      <w:r w:rsidRPr="00FE33BA">
        <w:rPr>
          <w:sz w:val="16"/>
          <w:szCs w:val="16"/>
        </w:rPr>
        <w:t xml:space="preserve"> Anxiety, depression and PTSD in asylum-seekers: associations with pre-migration trauma and post-migration stressors</w:t>
      </w:r>
      <w:r w:rsidRPr="00FE33BA">
        <w:rPr>
          <w:i/>
          <w:sz w:val="16"/>
          <w:szCs w:val="16"/>
        </w:rPr>
        <w:t>.  British Journal of Psychiatry, 170,</w:t>
      </w:r>
      <w:r w:rsidRPr="00FE33BA">
        <w:rPr>
          <w:sz w:val="16"/>
          <w:szCs w:val="16"/>
        </w:rPr>
        <w:t xml:space="preserve"> 351-357.</w:t>
      </w:r>
    </w:p>
    <w:p w:rsidR="002871E9" w:rsidRPr="002B6121" w:rsidRDefault="002871E9" w:rsidP="00006007">
      <w:pPr>
        <w:rPr>
          <w:rFonts w:cstheme="minorHAnsi"/>
          <w:sz w:val="16"/>
          <w:szCs w:val="16"/>
        </w:rPr>
      </w:pPr>
      <w:proofErr w:type="gramStart"/>
      <w:r w:rsidRPr="002B6121">
        <w:rPr>
          <w:rFonts w:cstheme="minorHAnsi"/>
          <w:sz w:val="16"/>
          <w:szCs w:val="16"/>
        </w:rPr>
        <w:t>Steel et al. (2006).</w:t>
      </w:r>
      <w:proofErr w:type="gramEnd"/>
      <w:r w:rsidRPr="002B6121">
        <w:rPr>
          <w:rFonts w:cstheme="minorHAnsi"/>
          <w:sz w:val="16"/>
          <w:szCs w:val="16"/>
        </w:rPr>
        <w:t xml:space="preserve">  </w:t>
      </w:r>
      <w:proofErr w:type="gramStart"/>
      <w:r w:rsidRPr="002B6121">
        <w:rPr>
          <w:rFonts w:cstheme="minorHAnsi"/>
          <w:sz w:val="16"/>
          <w:szCs w:val="16"/>
        </w:rPr>
        <w:t>Impact of immigration detention and temporary protection on the mental health of refugees</w:t>
      </w:r>
      <w:r w:rsidRPr="002B6121">
        <w:rPr>
          <w:rFonts w:cstheme="minorHAnsi"/>
          <w:i/>
          <w:iCs/>
          <w:sz w:val="16"/>
          <w:szCs w:val="16"/>
        </w:rPr>
        <w:t>.</w:t>
      </w:r>
      <w:proofErr w:type="gramEnd"/>
      <w:r w:rsidRPr="002B6121">
        <w:rPr>
          <w:rFonts w:cstheme="minorHAnsi"/>
          <w:i/>
          <w:iCs/>
          <w:sz w:val="16"/>
          <w:szCs w:val="16"/>
        </w:rPr>
        <w:t xml:space="preserve">  British Journal of Psychiatry, 188,</w:t>
      </w:r>
      <w:r w:rsidRPr="002B6121">
        <w:rPr>
          <w:rFonts w:cstheme="minorHAnsi"/>
          <w:sz w:val="16"/>
          <w:szCs w:val="16"/>
        </w:rPr>
        <w:t xml:space="preserve"> 58-64</w:t>
      </w:r>
    </w:p>
    <w:p w:rsidR="002871E9" w:rsidRDefault="002871E9">
      <w:pPr>
        <w:pStyle w:val="FootnoteText"/>
      </w:pPr>
    </w:p>
  </w:footnote>
  <w:footnote w:id="2">
    <w:p w:rsidR="002871E9" w:rsidRDefault="002871E9">
      <w:pPr>
        <w:pStyle w:val="FootnoteText"/>
      </w:pPr>
      <w:r>
        <w:rPr>
          <w:rStyle w:val="FootnoteReference"/>
        </w:rPr>
        <w:footnoteRef/>
      </w:r>
      <w:r>
        <w:t xml:space="preserve"> </w:t>
      </w:r>
      <w:r w:rsidRPr="002871E9">
        <w:rPr>
          <w:rFonts w:ascii="Century Gothic" w:hAnsi="Century Gothic"/>
          <w:sz w:val="22"/>
          <w:szCs w:val="24"/>
        </w:rPr>
        <w:t xml:space="preserve">This is in line with the ECJ in </w:t>
      </w:r>
      <w:proofErr w:type="spellStart"/>
      <w:r w:rsidRPr="002871E9">
        <w:rPr>
          <w:rFonts w:ascii="Century Gothic" w:hAnsi="Century Gothic"/>
          <w:i/>
          <w:sz w:val="22"/>
          <w:szCs w:val="24"/>
        </w:rPr>
        <w:t>Alarape</w:t>
      </w:r>
      <w:proofErr w:type="spellEnd"/>
      <w:r w:rsidRPr="002871E9">
        <w:rPr>
          <w:rFonts w:ascii="Century Gothic" w:hAnsi="Century Gothic"/>
          <w:i/>
          <w:sz w:val="22"/>
          <w:szCs w:val="24"/>
        </w:rPr>
        <w:t xml:space="preserve"> v Secretary of State for the Home Department</w:t>
      </w:r>
      <w:r w:rsidRPr="002871E9">
        <w:rPr>
          <w:rFonts w:ascii="Century Gothic" w:hAnsi="Century Gothic"/>
          <w:sz w:val="22"/>
          <w:szCs w:val="24"/>
        </w:rPr>
        <w:t xml:space="preserve"> [2013] EU ECJ C/529/11</w:t>
      </w:r>
    </w:p>
  </w:footnote>
  <w:footnote w:id="3">
    <w:p w:rsidR="002871E9" w:rsidRPr="00254F15" w:rsidRDefault="002871E9" w:rsidP="00006007">
      <w:pPr>
        <w:pStyle w:val="BodyText"/>
        <w:spacing w:after="0" w:line="360" w:lineRule="auto"/>
        <w:rPr>
          <w:rFonts w:ascii="Century Gothic" w:hAnsi="Century Gothic"/>
          <w:sz w:val="24"/>
          <w:szCs w:val="24"/>
        </w:rPr>
      </w:pPr>
      <w:r>
        <w:rPr>
          <w:rStyle w:val="FootnoteReference"/>
        </w:rPr>
        <w:footnoteRef/>
      </w:r>
      <w:r>
        <w:t xml:space="preserve"> </w:t>
      </w:r>
      <w:r w:rsidRPr="00254F15">
        <w:rPr>
          <w:rFonts w:ascii="Century Gothic" w:eastAsia="Times New Roman" w:hAnsi="Century Gothic"/>
        </w:rPr>
        <w:t>MK (section 55 – Tribunal options) [2015] UKUT 223 (IAC) (15 April 2015)</w:t>
      </w:r>
    </w:p>
    <w:p w:rsidR="002871E9" w:rsidRDefault="002871E9">
      <w:pPr>
        <w:pStyle w:val="FootnoteText"/>
      </w:pPr>
    </w:p>
  </w:footnote>
  <w:footnote w:id="4">
    <w:p w:rsidR="002871E9" w:rsidRPr="003E0930" w:rsidRDefault="002871E9">
      <w:pPr>
        <w:pStyle w:val="FootnoteText"/>
        <w:rPr>
          <w:rFonts w:ascii="Century Gothic" w:hAnsi="Century Gothic"/>
          <w:sz w:val="20"/>
          <w:szCs w:val="20"/>
        </w:rPr>
      </w:pPr>
      <w:r>
        <w:rPr>
          <w:rStyle w:val="FootnoteReference"/>
        </w:rPr>
        <w:footnoteRef/>
      </w:r>
      <w:r>
        <w:t xml:space="preserve"> </w:t>
      </w:r>
      <w:r w:rsidRPr="003E0930">
        <w:rPr>
          <w:rFonts w:ascii="Century Gothic" w:hAnsi="Century Gothic"/>
          <w:sz w:val="20"/>
          <w:szCs w:val="20"/>
        </w:rPr>
        <w:t>R (</w:t>
      </w:r>
      <w:proofErr w:type="spellStart"/>
      <w:r w:rsidRPr="003E0930">
        <w:rPr>
          <w:rFonts w:ascii="Century Gothic" w:hAnsi="Century Gothic"/>
          <w:sz w:val="20"/>
          <w:szCs w:val="20"/>
        </w:rPr>
        <w:t>Tigere</w:t>
      </w:r>
      <w:proofErr w:type="spellEnd"/>
      <w:r w:rsidRPr="003E0930">
        <w:rPr>
          <w:rFonts w:ascii="Century Gothic" w:hAnsi="Century Gothic"/>
          <w:sz w:val="20"/>
          <w:szCs w:val="20"/>
        </w:rPr>
        <w:t>) v Secretary of State for Business, Innovation and Skills [2015] UKSC 57</w:t>
      </w:r>
      <w:r>
        <w:rPr>
          <w:rFonts w:ascii="Century Gothic" w:hAnsi="Century Gothic"/>
          <w:sz w:val="20"/>
          <w:szCs w:val="20"/>
        </w:rPr>
        <w:t xml:space="preserve"> found that the requirement to have ILR to be eligible for the student loan scheme was discriminatory but that the requirement to have lawful residence for 3 years was justifiable. </w:t>
      </w:r>
    </w:p>
  </w:footnote>
  <w:footnote w:id="5">
    <w:p w:rsidR="002871E9" w:rsidRDefault="002871E9">
      <w:pPr>
        <w:pStyle w:val="FootnoteText"/>
      </w:pPr>
      <w:r>
        <w:rPr>
          <w:rStyle w:val="FootnoteReference"/>
        </w:rPr>
        <w:footnoteRef/>
      </w:r>
      <w:r>
        <w:t xml:space="preserve"> </w:t>
      </w:r>
      <w:proofErr w:type="spellStart"/>
      <w:r w:rsidRPr="00254F15">
        <w:rPr>
          <w:rFonts w:ascii="Century Gothic" w:hAnsi="Century Gothic"/>
          <w:color w:val="000000"/>
          <w:sz w:val="20"/>
          <w:szCs w:val="20"/>
        </w:rPr>
        <w:t>Badewa</w:t>
      </w:r>
      <w:proofErr w:type="spellEnd"/>
      <w:r w:rsidRPr="00254F15">
        <w:rPr>
          <w:rFonts w:ascii="Century Gothic" w:hAnsi="Century Gothic"/>
          <w:color w:val="000000"/>
          <w:sz w:val="20"/>
          <w:szCs w:val="20"/>
        </w:rPr>
        <w:t xml:space="preserve"> (</w:t>
      </w:r>
      <w:proofErr w:type="spellStart"/>
      <w:r w:rsidRPr="00254F15">
        <w:rPr>
          <w:rFonts w:ascii="Century Gothic" w:hAnsi="Century Gothic"/>
          <w:color w:val="000000"/>
          <w:sz w:val="20"/>
          <w:szCs w:val="20"/>
        </w:rPr>
        <w:t>ss</w:t>
      </w:r>
      <w:proofErr w:type="spellEnd"/>
      <w:r w:rsidRPr="00254F15">
        <w:rPr>
          <w:rFonts w:ascii="Century Gothic" w:hAnsi="Century Gothic"/>
          <w:color w:val="000000"/>
          <w:sz w:val="20"/>
          <w:szCs w:val="20"/>
        </w:rPr>
        <w:t xml:space="preserve"> 117A-D and EEA Regulations) [2015] UKUT 329 (IAC)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B40CDA"/>
    <w:lvl w:ilvl="0">
      <w:start w:val="1"/>
      <w:numFmt w:val="decimal"/>
      <w:lvlText w:val="%1."/>
      <w:lvlJc w:val="left"/>
      <w:pPr>
        <w:tabs>
          <w:tab w:val="num" w:pos="1492"/>
        </w:tabs>
        <w:ind w:left="1492" w:hanging="360"/>
      </w:pPr>
    </w:lvl>
  </w:abstractNum>
  <w:abstractNum w:abstractNumId="1">
    <w:nsid w:val="FFFFFF7D"/>
    <w:multiLevelType w:val="singleLevel"/>
    <w:tmpl w:val="50C89728"/>
    <w:lvl w:ilvl="0">
      <w:start w:val="1"/>
      <w:numFmt w:val="decimal"/>
      <w:lvlText w:val="%1."/>
      <w:lvlJc w:val="left"/>
      <w:pPr>
        <w:tabs>
          <w:tab w:val="num" w:pos="1209"/>
        </w:tabs>
        <w:ind w:left="1209" w:hanging="360"/>
      </w:pPr>
    </w:lvl>
  </w:abstractNum>
  <w:abstractNum w:abstractNumId="2">
    <w:nsid w:val="FFFFFF7E"/>
    <w:multiLevelType w:val="singleLevel"/>
    <w:tmpl w:val="2E746508"/>
    <w:lvl w:ilvl="0">
      <w:start w:val="1"/>
      <w:numFmt w:val="decimal"/>
      <w:lvlText w:val="%1."/>
      <w:lvlJc w:val="left"/>
      <w:pPr>
        <w:tabs>
          <w:tab w:val="num" w:pos="926"/>
        </w:tabs>
        <w:ind w:left="926" w:hanging="360"/>
      </w:pPr>
    </w:lvl>
  </w:abstractNum>
  <w:abstractNum w:abstractNumId="3">
    <w:nsid w:val="FFFFFF7F"/>
    <w:multiLevelType w:val="singleLevel"/>
    <w:tmpl w:val="7C54467E"/>
    <w:lvl w:ilvl="0">
      <w:start w:val="1"/>
      <w:numFmt w:val="decimal"/>
      <w:lvlText w:val="%1."/>
      <w:lvlJc w:val="left"/>
      <w:pPr>
        <w:tabs>
          <w:tab w:val="num" w:pos="643"/>
        </w:tabs>
        <w:ind w:left="643" w:hanging="360"/>
      </w:pPr>
    </w:lvl>
  </w:abstractNum>
  <w:abstractNum w:abstractNumId="4">
    <w:nsid w:val="FFFFFF80"/>
    <w:multiLevelType w:val="singleLevel"/>
    <w:tmpl w:val="4598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CAF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284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B844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265732"/>
    <w:lvl w:ilvl="0">
      <w:start w:val="1"/>
      <w:numFmt w:val="decimal"/>
      <w:lvlText w:val="%1."/>
      <w:lvlJc w:val="left"/>
      <w:pPr>
        <w:tabs>
          <w:tab w:val="num" w:pos="360"/>
        </w:tabs>
        <w:ind w:left="360" w:hanging="360"/>
      </w:pPr>
    </w:lvl>
  </w:abstractNum>
  <w:abstractNum w:abstractNumId="9">
    <w:nsid w:val="FFFFFF89"/>
    <w:multiLevelType w:val="singleLevel"/>
    <w:tmpl w:val="7D9660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290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nsid w:val="00C11486"/>
    <w:multiLevelType w:val="multilevel"/>
    <w:tmpl w:val="8466BF1C"/>
    <w:lvl w:ilvl="0">
      <w:start w:val="1"/>
      <w:numFmt w:val="decimal"/>
      <w:pStyle w:val="ExhibitHeading"/>
      <w:suff w:val="nothing"/>
      <w:lvlText w:val="Exhibit %1"/>
      <w:lvlJc w:val="left"/>
      <w:pPr>
        <w:ind w:left="0" w:firstLine="0"/>
      </w:pPr>
      <w:rPr>
        <w:rFonts w:ascii="Arial" w:hAnsi="Arial"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nsid w:val="0114780F"/>
    <w:multiLevelType w:val="multilevel"/>
    <w:tmpl w:val="50842F5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1D56998"/>
    <w:multiLevelType w:val="multilevel"/>
    <w:tmpl w:val="3F82BDDE"/>
    <w:lvl w:ilvl="0">
      <w:start w:val="1"/>
      <w:numFmt w:val="decimal"/>
      <w:lvlText w:val="%1"/>
      <w:lvlJc w:val="left"/>
      <w:pPr>
        <w:tabs>
          <w:tab w:val="num" w:pos="907"/>
        </w:tabs>
        <w:ind w:left="907" w:hanging="907"/>
      </w:pPr>
      <w:rPr>
        <w:rFonts w:ascii="Arial" w:hAnsi="Arial" w:hint="default"/>
        <w:b w:val="0"/>
        <w:i w:val="0"/>
        <w:sz w:val="22"/>
        <w:szCs w:val="20"/>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907"/>
        </w:tabs>
        <w:ind w:left="907" w:hanging="907"/>
      </w:pPr>
      <w:rPr>
        <w:rFonts w:ascii="Arial" w:hAnsi="Arial" w:hint="default"/>
        <w:b w:val="0"/>
        <w:i w:val="0"/>
        <w:sz w:val="22"/>
      </w:rPr>
    </w:lvl>
    <w:lvl w:ilvl="3">
      <w:start w:val="1"/>
      <w:numFmt w:val="lowerLetter"/>
      <w:lvlText w:val="(%4)"/>
      <w:lvlJc w:val="left"/>
      <w:pPr>
        <w:tabs>
          <w:tab w:val="num" w:pos="1474"/>
        </w:tabs>
        <w:ind w:left="1474" w:hanging="567"/>
      </w:pPr>
      <w:rPr>
        <w:rFonts w:ascii="Arial" w:hAnsi="Arial" w:hint="default"/>
        <w:b w:val="0"/>
        <w:i w:val="0"/>
        <w:sz w:val="22"/>
      </w:rPr>
    </w:lvl>
    <w:lvl w:ilvl="4">
      <w:start w:val="1"/>
      <w:numFmt w:val="lowerRoman"/>
      <w:lvlText w:val="(%5)"/>
      <w:lvlJc w:val="left"/>
      <w:pPr>
        <w:tabs>
          <w:tab w:val="num" w:pos="2041"/>
        </w:tabs>
        <w:ind w:left="2041" w:hanging="567"/>
      </w:pPr>
      <w:rPr>
        <w:rFonts w:ascii="Arial" w:hAnsi="Arial" w:hint="default"/>
        <w:b w:val="0"/>
        <w:i w:val="0"/>
        <w:sz w:val="22"/>
      </w:rPr>
    </w:lvl>
    <w:lvl w:ilvl="5">
      <w:start w:val="1"/>
      <w:numFmt w:val="upperLetter"/>
      <w:lvlText w:val="(%6)"/>
      <w:lvlJc w:val="left"/>
      <w:pPr>
        <w:tabs>
          <w:tab w:val="num" w:pos="2608"/>
        </w:tabs>
        <w:ind w:left="2608" w:hanging="567"/>
      </w:pPr>
      <w:rPr>
        <w:rFonts w:ascii="Arial" w:hAnsi="Arial" w:hint="default"/>
        <w:b w:val="0"/>
        <w:i w:val="0"/>
        <w:sz w:val="22"/>
      </w:rPr>
    </w:lvl>
    <w:lvl w:ilvl="6">
      <w:start w:val="1"/>
      <w:numFmt w:val="decimal"/>
      <w:lvlText w:val="(%7)"/>
      <w:lvlJc w:val="left"/>
      <w:pPr>
        <w:tabs>
          <w:tab w:val="num" w:pos="3175"/>
        </w:tabs>
        <w:ind w:left="3175" w:hanging="567"/>
      </w:pPr>
      <w:rPr>
        <w:rFonts w:hint="default"/>
        <w:sz w:val="22"/>
      </w:rPr>
    </w:lvl>
    <w:lvl w:ilvl="7">
      <w:start w:val="1"/>
      <w:numFmt w:val="lowerLetter"/>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4">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7E77CC"/>
    <w:multiLevelType w:val="multilevel"/>
    <w:tmpl w:val="0C6831E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4DC63B3"/>
    <w:multiLevelType w:val="hybridMultilevel"/>
    <w:tmpl w:val="D16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505DD7"/>
    <w:multiLevelType w:val="multilevel"/>
    <w:tmpl w:val="8E8643B6"/>
    <w:numStyleLink w:val="Schedules"/>
  </w:abstractNum>
  <w:abstractNum w:abstractNumId="18">
    <w:nsid w:val="18983CC5"/>
    <w:multiLevelType w:val="multilevel"/>
    <w:tmpl w:val="F3DA793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1ABF5A96"/>
    <w:multiLevelType w:val="multilevel"/>
    <w:tmpl w:val="D8AA7902"/>
    <w:lvl w:ilvl="0">
      <w:start w:val="1"/>
      <w:numFmt w:val="decimal"/>
      <w:suff w:val="nothing"/>
      <w:lvlText w:val="Schedule %1"/>
      <w:lvlJc w:val="left"/>
      <w:pPr>
        <w:ind w:left="0" w:firstLine="0"/>
      </w:pPr>
      <w:rPr>
        <w:rFonts w:hint="default"/>
        <w:b/>
        <w:i w:val="0"/>
      </w:rPr>
    </w:lvl>
    <w:lvl w:ilvl="1">
      <w:start w:val="1"/>
      <w:numFmt w:val="decimal"/>
      <w:lvlText w:val="%2"/>
      <w:lvlJc w:val="left"/>
      <w:pPr>
        <w:tabs>
          <w:tab w:val="num" w:pos="907"/>
        </w:tabs>
        <w:ind w:left="907" w:hanging="907"/>
      </w:pPr>
      <w:rPr>
        <w:rFonts w:ascii="Arial" w:hAnsi="Arial" w:hint="default"/>
        <w:b w:val="0"/>
        <w:i w:val="0"/>
        <w:sz w:val="22"/>
      </w:rPr>
    </w:lvl>
    <w:lvl w:ilvl="2">
      <w:start w:val="1"/>
      <w:numFmt w:val="decimal"/>
      <w:lvlText w:val="%2.%3"/>
      <w:lvlJc w:val="left"/>
      <w:pPr>
        <w:tabs>
          <w:tab w:val="num" w:pos="907"/>
        </w:tabs>
        <w:ind w:left="907" w:hanging="907"/>
      </w:pPr>
      <w:rPr>
        <w:rFonts w:ascii="Arial" w:hAnsi="Arial" w:hint="default"/>
        <w:b w:val="0"/>
        <w:i w:val="0"/>
        <w:sz w:val="22"/>
      </w:rPr>
    </w:lvl>
    <w:lvl w:ilvl="3">
      <w:start w:val="1"/>
      <w:numFmt w:val="decimal"/>
      <w:lvlText w:val="%2.%3.%4"/>
      <w:lvlJc w:val="left"/>
      <w:pPr>
        <w:tabs>
          <w:tab w:val="num" w:pos="907"/>
        </w:tabs>
        <w:ind w:left="907" w:hanging="907"/>
      </w:pPr>
      <w:rPr>
        <w:rFonts w:ascii="Arial" w:hAnsi="Arial" w:hint="default"/>
        <w:b w:val="0"/>
        <w:i w:val="0"/>
        <w:sz w:val="22"/>
      </w:rPr>
    </w:lvl>
    <w:lvl w:ilvl="4">
      <w:start w:val="1"/>
      <w:numFmt w:val="lowerLetter"/>
      <w:lvlText w:val="(%5)"/>
      <w:lvlJc w:val="left"/>
      <w:pPr>
        <w:tabs>
          <w:tab w:val="num" w:pos="1474"/>
        </w:tabs>
        <w:ind w:left="1474" w:hanging="567"/>
      </w:pPr>
      <w:rPr>
        <w:rFonts w:ascii="Arial" w:hAnsi="Arial" w:hint="default"/>
        <w:b w:val="0"/>
        <w:i w:val="0"/>
        <w:sz w:val="22"/>
      </w:rPr>
    </w:lvl>
    <w:lvl w:ilvl="5">
      <w:start w:val="1"/>
      <w:numFmt w:val="lowerRoman"/>
      <w:lvlText w:val="(%6)"/>
      <w:lvlJc w:val="left"/>
      <w:pPr>
        <w:tabs>
          <w:tab w:val="num" w:pos="2041"/>
        </w:tabs>
        <w:ind w:left="2041" w:hanging="567"/>
      </w:pPr>
      <w:rPr>
        <w:rFonts w:ascii="Arial" w:hAnsi="Arial" w:hint="default"/>
        <w:b w:val="0"/>
        <w:i w:val="0"/>
        <w:sz w:val="22"/>
      </w:rPr>
    </w:lvl>
    <w:lvl w:ilvl="6">
      <w:start w:val="1"/>
      <w:numFmt w:val="upperLetter"/>
      <w:lvlText w:val="(%7)"/>
      <w:lvlJc w:val="left"/>
      <w:pPr>
        <w:tabs>
          <w:tab w:val="num" w:pos="2608"/>
        </w:tabs>
        <w:ind w:left="2608" w:hanging="567"/>
      </w:pPr>
      <w:rPr>
        <w:rFonts w:ascii="Arial" w:hAnsi="Arial" w:hint="default"/>
        <w:b w:val="0"/>
        <w:i w:val="0"/>
        <w:sz w:val="22"/>
      </w:rPr>
    </w:lvl>
    <w:lvl w:ilvl="7">
      <w:start w:val="1"/>
      <w:numFmt w:val="decimal"/>
      <w:lvlText w:val="(%8)"/>
      <w:lvlJc w:val="left"/>
      <w:pPr>
        <w:tabs>
          <w:tab w:val="num" w:pos="3175"/>
        </w:tabs>
        <w:ind w:left="3175" w:hanging="567"/>
      </w:pPr>
      <w:rPr>
        <w:rFonts w:hint="default"/>
      </w:rPr>
    </w:lvl>
    <w:lvl w:ilvl="8">
      <w:start w:val="1"/>
      <w:numFmt w:val="lowerLetter"/>
      <w:lvlText w:val="(%9)"/>
      <w:lvlJc w:val="left"/>
      <w:pPr>
        <w:tabs>
          <w:tab w:val="num" w:pos="3742"/>
        </w:tabs>
        <w:ind w:left="3742" w:hanging="567"/>
      </w:pPr>
      <w:rPr>
        <w:rFonts w:hint="default"/>
      </w:rPr>
    </w:lvl>
  </w:abstractNum>
  <w:abstractNum w:abstractNumId="20">
    <w:nsid w:val="1B1E7EFC"/>
    <w:multiLevelType w:val="hybridMultilevel"/>
    <w:tmpl w:val="9C38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261721"/>
    <w:multiLevelType w:val="multilevel"/>
    <w:tmpl w:val="8E8643B6"/>
    <w:numStyleLink w:val="Schedules"/>
  </w:abstractNum>
  <w:abstractNum w:abstractNumId="22">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23">
    <w:nsid w:val="28DC3080"/>
    <w:multiLevelType w:val="multilevel"/>
    <w:tmpl w:val="AD34423A"/>
    <w:numStyleLink w:val="Headings"/>
  </w:abstractNum>
  <w:abstractNum w:abstractNumId="24">
    <w:nsid w:val="292778C9"/>
    <w:multiLevelType w:val="hybridMultilevel"/>
    <w:tmpl w:val="8A0C8E96"/>
    <w:lvl w:ilvl="0" w:tplc="9348CCEC">
      <w:start w:val="1"/>
      <w:numFmt w:val="decimal"/>
      <w:lvlText w:val="%1."/>
      <w:lvlJc w:val="left"/>
      <w:pPr>
        <w:ind w:left="720" w:hanging="360"/>
      </w:pPr>
      <w:rPr>
        <w:rFonts w:ascii="Times New Roman" w:hAnsi="Times New Roman" w:cs="Times New Roman"/>
        <w:i w:val="0"/>
        <w:iCs w:val="0"/>
      </w:rPr>
    </w:lvl>
    <w:lvl w:ilvl="1" w:tplc="784A5086">
      <w:start w:val="1"/>
      <w:numFmt w:val="lowerLetter"/>
      <w:lvlText w:val="%2."/>
      <w:lvlJc w:val="left"/>
      <w:pPr>
        <w:ind w:left="1440" w:hanging="360"/>
      </w:pPr>
      <w:rPr>
        <w:rFonts w:ascii="Times New Roman" w:hAnsi="Times New Roman" w:cs="Times New Roman"/>
        <w:i w:val="0"/>
        <w:iCs w:val="0"/>
      </w:rPr>
    </w:lvl>
    <w:lvl w:ilvl="2" w:tplc="AABEC24A">
      <w:start w:val="1"/>
      <w:numFmt w:val="lowerRoman"/>
      <w:lvlText w:val="%3."/>
      <w:lvlJc w:val="right"/>
      <w:pPr>
        <w:ind w:left="2160" w:hanging="180"/>
      </w:pPr>
      <w:rPr>
        <w:rFonts w:ascii="Times New Roman" w:hAnsi="Times New Roman" w:cs="Times New Roman"/>
        <w:i w:val="0"/>
        <w:iCs w:val="0"/>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2BBC028D"/>
    <w:multiLevelType w:val="multilevel"/>
    <w:tmpl w:val="3580CE8C"/>
    <w:numStyleLink w:val="CourtHeadings"/>
  </w:abstractNum>
  <w:abstractNum w:abstractNumId="26">
    <w:nsid w:val="3084625C"/>
    <w:multiLevelType w:val="hybridMultilevel"/>
    <w:tmpl w:val="21C6F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28">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6CB3E81"/>
    <w:multiLevelType w:val="multilevel"/>
    <w:tmpl w:val="7A688028"/>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0">
    <w:nsid w:val="3A132B53"/>
    <w:multiLevelType w:val="hybridMultilevel"/>
    <w:tmpl w:val="1B08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EA1976"/>
    <w:multiLevelType w:val="hybridMultilevel"/>
    <w:tmpl w:val="29F88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8E7568"/>
    <w:multiLevelType w:val="multilevel"/>
    <w:tmpl w:val="F04426A6"/>
    <w:lvl w:ilvl="0">
      <w:start w:val="1"/>
      <w:numFmt w:val="decimal"/>
      <w:suff w:val="nothing"/>
      <w:lvlText w:val="Schedule %1"/>
      <w:lvlJc w:val="left"/>
      <w:pPr>
        <w:ind w:left="0" w:firstLine="0"/>
      </w:pPr>
      <w:rPr>
        <w:rFonts w:hint="default"/>
        <w:b/>
        <w:i w:val="0"/>
      </w:rPr>
    </w:lvl>
    <w:lvl w:ilvl="1">
      <w:start w:val="1"/>
      <w:numFmt w:val="decimal"/>
      <w:lvlText w:val="%2"/>
      <w:lvlJc w:val="left"/>
      <w:pPr>
        <w:tabs>
          <w:tab w:val="num" w:pos="907"/>
        </w:tabs>
        <w:ind w:left="907" w:hanging="907"/>
      </w:pPr>
      <w:rPr>
        <w:rFonts w:ascii="Arial" w:hAnsi="Arial" w:hint="default"/>
        <w:b w:val="0"/>
        <w:i w:val="0"/>
        <w:sz w:val="22"/>
      </w:rPr>
    </w:lvl>
    <w:lvl w:ilvl="2">
      <w:start w:val="1"/>
      <w:numFmt w:val="decimal"/>
      <w:lvlText w:val="%2.%3"/>
      <w:lvlJc w:val="left"/>
      <w:pPr>
        <w:tabs>
          <w:tab w:val="num" w:pos="907"/>
        </w:tabs>
        <w:ind w:left="907" w:hanging="907"/>
      </w:pPr>
      <w:rPr>
        <w:rFonts w:ascii="Arial" w:hAnsi="Arial" w:hint="default"/>
        <w:b w:val="0"/>
        <w:i w:val="0"/>
        <w:sz w:val="22"/>
      </w:rPr>
    </w:lvl>
    <w:lvl w:ilvl="3">
      <w:start w:val="1"/>
      <w:numFmt w:val="decimal"/>
      <w:lvlText w:val="%2.%3.%4"/>
      <w:lvlJc w:val="left"/>
      <w:pPr>
        <w:tabs>
          <w:tab w:val="num" w:pos="907"/>
        </w:tabs>
        <w:ind w:left="907" w:hanging="907"/>
      </w:pPr>
      <w:rPr>
        <w:rFonts w:ascii="Arial" w:hAnsi="Arial" w:hint="default"/>
        <w:b w:val="0"/>
        <w:i w:val="0"/>
        <w:sz w:val="22"/>
      </w:rPr>
    </w:lvl>
    <w:lvl w:ilvl="4">
      <w:start w:val="1"/>
      <w:numFmt w:val="lowerLetter"/>
      <w:lvlText w:val="(%5)"/>
      <w:lvlJc w:val="left"/>
      <w:pPr>
        <w:tabs>
          <w:tab w:val="num" w:pos="1474"/>
        </w:tabs>
        <w:ind w:left="1474" w:hanging="567"/>
      </w:pPr>
      <w:rPr>
        <w:rFonts w:ascii="Arial" w:hAnsi="Arial" w:hint="default"/>
        <w:b w:val="0"/>
        <w:i w:val="0"/>
        <w:sz w:val="22"/>
      </w:rPr>
    </w:lvl>
    <w:lvl w:ilvl="5">
      <w:start w:val="1"/>
      <w:numFmt w:val="lowerRoman"/>
      <w:lvlText w:val="(%6)"/>
      <w:lvlJc w:val="left"/>
      <w:pPr>
        <w:tabs>
          <w:tab w:val="num" w:pos="2041"/>
        </w:tabs>
        <w:ind w:left="2041" w:hanging="567"/>
      </w:pPr>
      <w:rPr>
        <w:rFonts w:ascii="Arial" w:hAnsi="Arial" w:hint="default"/>
        <w:b w:val="0"/>
        <w:i w:val="0"/>
        <w:sz w:val="22"/>
      </w:rPr>
    </w:lvl>
    <w:lvl w:ilvl="6">
      <w:start w:val="1"/>
      <w:numFmt w:val="upperLetter"/>
      <w:lvlText w:val="(%7)"/>
      <w:lvlJc w:val="left"/>
      <w:pPr>
        <w:tabs>
          <w:tab w:val="num" w:pos="2608"/>
        </w:tabs>
        <w:ind w:left="2608" w:hanging="567"/>
      </w:pPr>
      <w:rPr>
        <w:rFonts w:ascii="Arial" w:hAnsi="Arial" w:hint="default"/>
        <w:b w:val="0"/>
        <w:i w:val="0"/>
        <w:sz w:val="22"/>
      </w:rPr>
    </w:lvl>
    <w:lvl w:ilvl="7">
      <w:start w:val="1"/>
      <w:numFmt w:val="decimal"/>
      <w:lvlText w:val="(%8)"/>
      <w:lvlJc w:val="left"/>
      <w:pPr>
        <w:tabs>
          <w:tab w:val="num" w:pos="3175"/>
        </w:tabs>
        <w:ind w:left="3175" w:hanging="567"/>
      </w:pPr>
      <w:rPr>
        <w:rFonts w:hint="default"/>
      </w:rPr>
    </w:lvl>
    <w:lvl w:ilvl="8">
      <w:start w:val="1"/>
      <w:numFmt w:val="lowerLetter"/>
      <w:lvlText w:val="(%9)"/>
      <w:lvlJc w:val="left"/>
      <w:pPr>
        <w:tabs>
          <w:tab w:val="num" w:pos="3742"/>
        </w:tabs>
        <w:ind w:left="3742" w:hanging="567"/>
      </w:pPr>
      <w:rPr>
        <w:rFonts w:hint="default"/>
      </w:rPr>
    </w:lvl>
  </w:abstractNum>
  <w:abstractNum w:abstractNumId="33">
    <w:nsid w:val="5D2B770A"/>
    <w:multiLevelType w:val="hybridMultilevel"/>
    <w:tmpl w:val="194A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6F1CA1"/>
    <w:multiLevelType w:val="multilevel"/>
    <w:tmpl w:val="F3DA793E"/>
    <w:lvl w:ilvl="0">
      <w:start w:val="1"/>
      <w:numFmt w:val="decimal"/>
      <w:lvlText w:val="%1"/>
      <w:lvlJc w:val="left"/>
      <w:pPr>
        <w:tabs>
          <w:tab w:val="num" w:pos="907"/>
        </w:tabs>
        <w:ind w:left="907" w:hanging="907"/>
      </w:pPr>
      <w:rPr>
        <w:rFonts w:ascii="Arial" w:hAnsi="Arial" w:hint="default"/>
        <w:b w:val="0"/>
        <w:i w:val="0"/>
        <w:sz w:val="22"/>
      </w:rPr>
    </w:lvl>
    <w:lvl w:ilvl="1">
      <w:start w:val="1"/>
      <w:numFmt w:val="lowerLetter"/>
      <w:lvlText w:val="(%2)"/>
      <w:lvlJc w:val="left"/>
      <w:pPr>
        <w:tabs>
          <w:tab w:val="num" w:pos="1474"/>
        </w:tabs>
        <w:ind w:left="1474" w:hanging="567"/>
      </w:pPr>
      <w:rPr>
        <w:rFonts w:ascii="Arial" w:hAnsi="Arial" w:hint="default"/>
        <w:b w:val="0"/>
        <w:i w:val="0"/>
        <w:sz w:val="22"/>
      </w:rPr>
    </w:lvl>
    <w:lvl w:ilvl="2">
      <w:start w:val="1"/>
      <w:numFmt w:val="lowerRoman"/>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CC7631D"/>
    <w:multiLevelType w:val="hybridMultilevel"/>
    <w:tmpl w:val="BAD4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B813C1"/>
    <w:multiLevelType w:val="hybridMultilevel"/>
    <w:tmpl w:val="05C600CC"/>
    <w:lvl w:ilvl="0" w:tplc="FFD8A53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8E6CE2"/>
    <w:multiLevelType w:val="hybridMultilevel"/>
    <w:tmpl w:val="AF5C0C26"/>
    <w:lvl w:ilvl="0" w:tplc="36327604">
      <w:start w:val="1"/>
      <w:numFmt w:val="upperLetter"/>
      <w:pStyle w:val="Recital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1"/>
  </w:num>
  <w:num w:numId="4">
    <w:abstractNumId w:val="13"/>
  </w:num>
  <w:num w:numId="5">
    <w:abstractNumId w:val="28"/>
  </w:num>
  <w:num w:numId="6">
    <w:abstractNumId w:val="37"/>
  </w:num>
  <w:num w:numId="7">
    <w:abstractNumId w:val="19"/>
  </w:num>
  <w:num w:numId="8">
    <w:abstractNumId w:val="2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5"/>
  </w:num>
  <w:num w:numId="13">
    <w:abstractNumId w:val="32"/>
  </w:num>
  <w:num w:numId="14">
    <w:abstractNumId w:val="2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3"/>
  </w:num>
  <w:num w:numId="28">
    <w:abstractNumId w:val="21"/>
  </w:num>
  <w:num w:numId="29">
    <w:abstractNumId w:val="17"/>
  </w:num>
  <w:num w:numId="30">
    <w:abstractNumId w:val="36"/>
  </w:num>
  <w:num w:numId="31">
    <w:abstractNumId w:val="31"/>
  </w:num>
  <w:num w:numId="32">
    <w:abstractNumId w:val="30"/>
  </w:num>
  <w:num w:numId="33">
    <w:abstractNumId w:val="26"/>
  </w:num>
  <w:num w:numId="34">
    <w:abstractNumId w:val="33"/>
  </w:num>
  <w:num w:numId="35">
    <w:abstractNumId w:val="24"/>
  </w:num>
  <w:num w:numId="36">
    <w:abstractNumId w:val="10"/>
  </w:num>
  <w:num w:numId="37">
    <w:abstractNumId w:val="20"/>
  </w:num>
  <w:num w:numId="38">
    <w:abstractNumId w:val="16"/>
  </w:num>
  <w:num w:numId="39">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rsids>
    <w:rsidRoot w:val="0045108D"/>
    <w:rsid w:val="00000CC9"/>
    <w:rsid w:val="000032E5"/>
    <w:rsid w:val="00003B53"/>
    <w:rsid w:val="00006007"/>
    <w:rsid w:val="00006F41"/>
    <w:rsid w:val="000105A8"/>
    <w:rsid w:val="00016F8E"/>
    <w:rsid w:val="00050048"/>
    <w:rsid w:val="00054B45"/>
    <w:rsid w:val="00056850"/>
    <w:rsid w:val="00057C61"/>
    <w:rsid w:val="00060771"/>
    <w:rsid w:val="000617D7"/>
    <w:rsid w:val="000640AC"/>
    <w:rsid w:val="00067C22"/>
    <w:rsid w:val="00071385"/>
    <w:rsid w:val="00072B61"/>
    <w:rsid w:val="00074E3B"/>
    <w:rsid w:val="00076CDB"/>
    <w:rsid w:val="00085A19"/>
    <w:rsid w:val="0009092E"/>
    <w:rsid w:val="0009636B"/>
    <w:rsid w:val="000A404D"/>
    <w:rsid w:val="000B5E70"/>
    <w:rsid w:val="000C7723"/>
    <w:rsid w:val="000E56AF"/>
    <w:rsid w:val="000E73E6"/>
    <w:rsid w:val="000F1C96"/>
    <w:rsid w:val="00100D9C"/>
    <w:rsid w:val="0010266B"/>
    <w:rsid w:val="001076B3"/>
    <w:rsid w:val="00110E9A"/>
    <w:rsid w:val="001170AD"/>
    <w:rsid w:val="00122545"/>
    <w:rsid w:val="00132905"/>
    <w:rsid w:val="001415A2"/>
    <w:rsid w:val="00150091"/>
    <w:rsid w:val="00155FB8"/>
    <w:rsid w:val="0016000C"/>
    <w:rsid w:val="00181F0E"/>
    <w:rsid w:val="00184956"/>
    <w:rsid w:val="001852AE"/>
    <w:rsid w:val="00186BD5"/>
    <w:rsid w:val="00187E7D"/>
    <w:rsid w:val="00192D13"/>
    <w:rsid w:val="001A002F"/>
    <w:rsid w:val="001B345E"/>
    <w:rsid w:val="001D0E12"/>
    <w:rsid w:val="001D2613"/>
    <w:rsid w:val="001F6B72"/>
    <w:rsid w:val="00201EA4"/>
    <w:rsid w:val="00207868"/>
    <w:rsid w:val="002163F5"/>
    <w:rsid w:val="002175B6"/>
    <w:rsid w:val="00222B4F"/>
    <w:rsid w:val="002263CE"/>
    <w:rsid w:val="0023083B"/>
    <w:rsid w:val="00242560"/>
    <w:rsid w:val="0024656C"/>
    <w:rsid w:val="00254F15"/>
    <w:rsid w:val="0025777B"/>
    <w:rsid w:val="00260C2D"/>
    <w:rsid w:val="002632F6"/>
    <w:rsid w:val="002671F4"/>
    <w:rsid w:val="002700C1"/>
    <w:rsid w:val="00281157"/>
    <w:rsid w:val="002846C5"/>
    <w:rsid w:val="002871E9"/>
    <w:rsid w:val="00291925"/>
    <w:rsid w:val="002C04C6"/>
    <w:rsid w:val="002C4E9E"/>
    <w:rsid w:val="002D2001"/>
    <w:rsid w:val="002E2DC7"/>
    <w:rsid w:val="002E7E9E"/>
    <w:rsid w:val="002F6D16"/>
    <w:rsid w:val="003136B7"/>
    <w:rsid w:val="00313BA5"/>
    <w:rsid w:val="0032040A"/>
    <w:rsid w:val="0032455E"/>
    <w:rsid w:val="0033219E"/>
    <w:rsid w:val="00335141"/>
    <w:rsid w:val="00342040"/>
    <w:rsid w:val="003602A6"/>
    <w:rsid w:val="00377CBC"/>
    <w:rsid w:val="003A032F"/>
    <w:rsid w:val="003A0CDF"/>
    <w:rsid w:val="003A64BC"/>
    <w:rsid w:val="003B5DB6"/>
    <w:rsid w:val="003C4725"/>
    <w:rsid w:val="003C6006"/>
    <w:rsid w:val="003E0930"/>
    <w:rsid w:val="003E24CD"/>
    <w:rsid w:val="003E6CE1"/>
    <w:rsid w:val="00404C99"/>
    <w:rsid w:val="00405672"/>
    <w:rsid w:val="00423940"/>
    <w:rsid w:val="0045108D"/>
    <w:rsid w:val="00474372"/>
    <w:rsid w:val="004803B3"/>
    <w:rsid w:val="00482273"/>
    <w:rsid w:val="0048628D"/>
    <w:rsid w:val="00491198"/>
    <w:rsid w:val="004A4F7E"/>
    <w:rsid w:val="004B0E43"/>
    <w:rsid w:val="004B2127"/>
    <w:rsid w:val="004B21D2"/>
    <w:rsid w:val="004B360E"/>
    <w:rsid w:val="004B7B5D"/>
    <w:rsid w:val="004C2DB3"/>
    <w:rsid w:val="004C7D0D"/>
    <w:rsid w:val="004D1E67"/>
    <w:rsid w:val="004D40B2"/>
    <w:rsid w:val="004D6E12"/>
    <w:rsid w:val="004D7E72"/>
    <w:rsid w:val="004E3478"/>
    <w:rsid w:val="004E7228"/>
    <w:rsid w:val="00500430"/>
    <w:rsid w:val="00512D95"/>
    <w:rsid w:val="0051431B"/>
    <w:rsid w:val="005144BF"/>
    <w:rsid w:val="00517137"/>
    <w:rsid w:val="00517577"/>
    <w:rsid w:val="00522885"/>
    <w:rsid w:val="00536646"/>
    <w:rsid w:val="0057252C"/>
    <w:rsid w:val="00576458"/>
    <w:rsid w:val="005849DE"/>
    <w:rsid w:val="005937BC"/>
    <w:rsid w:val="00596948"/>
    <w:rsid w:val="005A4A6A"/>
    <w:rsid w:val="005A62F2"/>
    <w:rsid w:val="005A73A0"/>
    <w:rsid w:val="005B223A"/>
    <w:rsid w:val="005B7F0F"/>
    <w:rsid w:val="005C06BF"/>
    <w:rsid w:val="005D373A"/>
    <w:rsid w:val="005D47D7"/>
    <w:rsid w:val="005E47D2"/>
    <w:rsid w:val="005E5983"/>
    <w:rsid w:val="005E5E19"/>
    <w:rsid w:val="00600EFD"/>
    <w:rsid w:val="006071D4"/>
    <w:rsid w:val="0061124E"/>
    <w:rsid w:val="00617CE9"/>
    <w:rsid w:val="00621E28"/>
    <w:rsid w:val="00622F54"/>
    <w:rsid w:val="00631943"/>
    <w:rsid w:val="0064478D"/>
    <w:rsid w:val="00650FE9"/>
    <w:rsid w:val="00667D9D"/>
    <w:rsid w:val="00671DD5"/>
    <w:rsid w:val="0067239F"/>
    <w:rsid w:val="0068108F"/>
    <w:rsid w:val="00697EC0"/>
    <w:rsid w:val="006A33AB"/>
    <w:rsid w:val="006C3F39"/>
    <w:rsid w:val="006E0438"/>
    <w:rsid w:val="006E73CA"/>
    <w:rsid w:val="006F3D10"/>
    <w:rsid w:val="006F6D66"/>
    <w:rsid w:val="00715DBF"/>
    <w:rsid w:val="00722940"/>
    <w:rsid w:val="00731894"/>
    <w:rsid w:val="00733D08"/>
    <w:rsid w:val="00742998"/>
    <w:rsid w:val="00753501"/>
    <w:rsid w:val="00757BD8"/>
    <w:rsid w:val="0076211B"/>
    <w:rsid w:val="00763560"/>
    <w:rsid w:val="00771AF2"/>
    <w:rsid w:val="00784D6F"/>
    <w:rsid w:val="0078729F"/>
    <w:rsid w:val="00791A06"/>
    <w:rsid w:val="007971EE"/>
    <w:rsid w:val="0079762D"/>
    <w:rsid w:val="007A1B83"/>
    <w:rsid w:val="007A4DE2"/>
    <w:rsid w:val="007B279E"/>
    <w:rsid w:val="007B42FC"/>
    <w:rsid w:val="007B5FDE"/>
    <w:rsid w:val="007C352A"/>
    <w:rsid w:val="007C5D31"/>
    <w:rsid w:val="007C6EF2"/>
    <w:rsid w:val="007D13CD"/>
    <w:rsid w:val="007E3C56"/>
    <w:rsid w:val="007F23DB"/>
    <w:rsid w:val="007F37D6"/>
    <w:rsid w:val="007F4D21"/>
    <w:rsid w:val="00802B45"/>
    <w:rsid w:val="00814D8E"/>
    <w:rsid w:val="008250D8"/>
    <w:rsid w:val="0082721F"/>
    <w:rsid w:val="00833D69"/>
    <w:rsid w:val="00834A7D"/>
    <w:rsid w:val="00846491"/>
    <w:rsid w:val="0084658D"/>
    <w:rsid w:val="008479E7"/>
    <w:rsid w:val="00847E73"/>
    <w:rsid w:val="008564F4"/>
    <w:rsid w:val="00862727"/>
    <w:rsid w:val="00890CE7"/>
    <w:rsid w:val="00891206"/>
    <w:rsid w:val="008A0C26"/>
    <w:rsid w:val="008A35D1"/>
    <w:rsid w:val="008B3B5C"/>
    <w:rsid w:val="008B511B"/>
    <w:rsid w:val="008C69D5"/>
    <w:rsid w:val="008D025B"/>
    <w:rsid w:val="008D03C0"/>
    <w:rsid w:val="008D6430"/>
    <w:rsid w:val="008E2479"/>
    <w:rsid w:val="008E2953"/>
    <w:rsid w:val="008E339A"/>
    <w:rsid w:val="008E5276"/>
    <w:rsid w:val="008F0FDB"/>
    <w:rsid w:val="008F3BD0"/>
    <w:rsid w:val="0090043A"/>
    <w:rsid w:val="00901B12"/>
    <w:rsid w:val="00913DB4"/>
    <w:rsid w:val="009142E2"/>
    <w:rsid w:val="00915B7C"/>
    <w:rsid w:val="0092433D"/>
    <w:rsid w:val="00925FA9"/>
    <w:rsid w:val="00933C00"/>
    <w:rsid w:val="009450CE"/>
    <w:rsid w:val="00950086"/>
    <w:rsid w:val="0095063E"/>
    <w:rsid w:val="009531A7"/>
    <w:rsid w:val="00953562"/>
    <w:rsid w:val="00962F7C"/>
    <w:rsid w:val="009671CB"/>
    <w:rsid w:val="00967E15"/>
    <w:rsid w:val="0098364E"/>
    <w:rsid w:val="0098434B"/>
    <w:rsid w:val="009950B4"/>
    <w:rsid w:val="009978D3"/>
    <w:rsid w:val="009C033C"/>
    <w:rsid w:val="009C5F69"/>
    <w:rsid w:val="009D4000"/>
    <w:rsid w:val="009E4FBE"/>
    <w:rsid w:val="00A02A7E"/>
    <w:rsid w:val="00A076FA"/>
    <w:rsid w:val="00A207B8"/>
    <w:rsid w:val="00A23537"/>
    <w:rsid w:val="00A24FFF"/>
    <w:rsid w:val="00A43475"/>
    <w:rsid w:val="00A53474"/>
    <w:rsid w:val="00A67F62"/>
    <w:rsid w:val="00A71CE1"/>
    <w:rsid w:val="00A771B2"/>
    <w:rsid w:val="00A90A74"/>
    <w:rsid w:val="00A936DD"/>
    <w:rsid w:val="00A96AA5"/>
    <w:rsid w:val="00AA7189"/>
    <w:rsid w:val="00AB4738"/>
    <w:rsid w:val="00AC5931"/>
    <w:rsid w:val="00AC6724"/>
    <w:rsid w:val="00AD49A2"/>
    <w:rsid w:val="00AE5859"/>
    <w:rsid w:val="00B03452"/>
    <w:rsid w:val="00B04144"/>
    <w:rsid w:val="00B07884"/>
    <w:rsid w:val="00B15158"/>
    <w:rsid w:val="00B20803"/>
    <w:rsid w:val="00B21691"/>
    <w:rsid w:val="00B2407D"/>
    <w:rsid w:val="00B24C2A"/>
    <w:rsid w:val="00B34AA8"/>
    <w:rsid w:val="00B3795C"/>
    <w:rsid w:val="00B43585"/>
    <w:rsid w:val="00B45950"/>
    <w:rsid w:val="00B46A5F"/>
    <w:rsid w:val="00B605E7"/>
    <w:rsid w:val="00B73BFA"/>
    <w:rsid w:val="00B74192"/>
    <w:rsid w:val="00B760B3"/>
    <w:rsid w:val="00B77A40"/>
    <w:rsid w:val="00B82B65"/>
    <w:rsid w:val="00B91D32"/>
    <w:rsid w:val="00B9599D"/>
    <w:rsid w:val="00BA5983"/>
    <w:rsid w:val="00BB6C5F"/>
    <w:rsid w:val="00BC75D4"/>
    <w:rsid w:val="00BD3CDC"/>
    <w:rsid w:val="00BD6601"/>
    <w:rsid w:val="00BE5FB4"/>
    <w:rsid w:val="00BF0A15"/>
    <w:rsid w:val="00BF1CD4"/>
    <w:rsid w:val="00C00216"/>
    <w:rsid w:val="00C01747"/>
    <w:rsid w:val="00C10410"/>
    <w:rsid w:val="00C15C1D"/>
    <w:rsid w:val="00C2309C"/>
    <w:rsid w:val="00C43578"/>
    <w:rsid w:val="00C538EF"/>
    <w:rsid w:val="00C53E16"/>
    <w:rsid w:val="00C56814"/>
    <w:rsid w:val="00C56F71"/>
    <w:rsid w:val="00C70C42"/>
    <w:rsid w:val="00C7112C"/>
    <w:rsid w:val="00C73516"/>
    <w:rsid w:val="00C739F9"/>
    <w:rsid w:val="00C75163"/>
    <w:rsid w:val="00C8649C"/>
    <w:rsid w:val="00C86827"/>
    <w:rsid w:val="00C86A7F"/>
    <w:rsid w:val="00C9021F"/>
    <w:rsid w:val="00C9506A"/>
    <w:rsid w:val="00C9776D"/>
    <w:rsid w:val="00CA59C6"/>
    <w:rsid w:val="00CA75F0"/>
    <w:rsid w:val="00CB13B5"/>
    <w:rsid w:val="00CB3264"/>
    <w:rsid w:val="00CB6126"/>
    <w:rsid w:val="00CC1766"/>
    <w:rsid w:val="00CD75ED"/>
    <w:rsid w:val="00CD7BB4"/>
    <w:rsid w:val="00CE29F1"/>
    <w:rsid w:val="00CE3D9C"/>
    <w:rsid w:val="00CE44B6"/>
    <w:rsid w:val="00CF3841"/>
    <w:rsid w:val="00CF5263"/>
    <w:rsid w:val="00CF5694"/>
    <w:rsid w:val="00D03D77"/>
    <w:rsid w:val="00D068F4"/>
    <w:rsid w:val="00D14D97"/>
    <w:rsid w:val="00D256F3"/>
    <w:rsid w:val="00D25904"/>
    <w:rsid w:val="00D3624E"/>
    <w:rsid w:val="00D4385B"/>
    <w:rsid w:val="00D4608F"/>
    <w:rsid w:val="00D50A3B"/>
    <w:rsid w:val="00D725AB"/>
    <w:rsid w:val="00D7485A"/>
    <w:rsid w:val="00D84EF8"/>
    <w:rsid w:val="00D91C2C"/>
    <w:rsid w:val="00D9347E"/>
    <w:rsid w:val="00D96D4F"/>
    <w:rsid w:val="00D975E3"/>
    <w:rsid w:val="00DA0F45"/>
    <w:rsid w:val="00DA25F8"/>
    <w:rsid w:val="00DC3CA0"/>
    <w:rsid w:val="00DC508C"/>
    <w:rsid w:val="00DE191E"/>
    <w:rsid w:val="00DE2C83"/>
    <w:rsid w:val="00DE39DC"/>
    <w:rsid w:val="00DE63DC"/>
    <w:rsid w:val="00DF0713"/>
    <w:rsid w:val="00E1002E"/>
    <w:rsid w:val="00E141A5"/>
    <w:rsid w:val="00E23740"/>
    <w:rsid w:val="00E30865"/>
    <w:rsid w:val="00E31F00"/>
    <w:rsid w:val="00E3325A"/>
    <w:rsid w:val="00E36772"/>
    <w:rsid w:val="00E52100"/>
    <w:rsid w:val="00E535BD"/>
    <w:rsid w:val="00E650AB"/>
    <w:rsid w:val="00E65AFD"/>
    <w:rsid w:val="00E754B3"/>
    <w:rsid w:val="00E7608D"/>
    <w:rsid w:val="00EA0C2F"/>
    <w:rsid w:val="00EA72BA"/>
    <w:rsid w:val="00EB618E"/>
    <w:rsid w:val="00EC50C2"/>
    <w:rsid w:val="00EC6EE6"/>
    <w:rsid w:val="00ED1C4F"/>
    <w:rsid w:val="00ED6661"/>
    <w:rsid w:val="00ED77E5"/>
    <w:rsid w:val="00EE1C55"/>
    <w:rsid w:val="00EF10DC"/>
    <w:rsid w:val="00EF3FCB"/>
    <w:rsid w:val="00F013FF"/>
    <w:rsid w:val="00F03B07"/>
    <w:rsid w:val="00F05415"/>
    <w:rsid w:val="00F078D6"/>
    <w:rsid w:val="00F23C48"/>
    <w:rsid w:val="00F24692"/>
    <w:rsid w:val="00F31C8E"/>
    <w:rsid w:val="00F32EF6"/>
    <w:rsid w:val="00F330A5"/>
    <w:rsid w:val="00F33E96"/>
    <w:rsid w:val="00F45751"/>
    <w:rsid w:val="00F54906"/>
    <w:rsid w:val="00F55271"/>
    <w:rsid w:val="00F57815"/>
    <w:rsid w:val="00F64BF5"/>
    <w:rsid w:val="00F66635"/>
    <w:rsid w:val="00F82451"/>
    <w:rsid w:val="00F910EF"/>
    <w:rsid w:val="00FB6DE1"/>
    <w:rsid w:val="00FD1EFB"/>
    <w:rsid w:val="00FE2EEC"/>
    <w:rsid w:val="00FE3E0A"/>
    <w:rsid w:val="00FE67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Title" w:unhideWhenUsed="0"/>
    <w:lsdException w:name="Default Paragraph Font" w:uiPriority="0"/>
    <w:lsdException w:name="Body Text" w:uiPriority="2" w:qFormat="1"/>
    <w:lsdException w:name="Subtitle" w:uiPriority="11" w:unhideWhenUsed="0"/>
    <w:lsdException w:name="Body Text Indent 2" w:uiPriority="0" w:qFormat="1"/>
    <w:lsdException w:name="Body Text Indent 3" w:uiPriority="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27"/>
      </w:numPr>
      <w:outlineLvl w:val="0"/>
    </w:pPr>
  </w:style>
  <w:style w:type="paragraph" w:styleId="Heading2">
    <w:name w:val="heading 2"/>
    <w:basedOn w:val="BodyText"/>
    <w:link w:val="Heading2Char"/>
    <w:uiPriority w:val="3"/>
    <w:qFormat/>
    <w:rsid w:val="00006F41"/>
    <w:pPr>
      <w:numPr>
        <w:ilvl w:val="1"/>
        <w:numId w:val="27"/>
      </w:numPr>
      <w:outlineLvl w:val="1"/>
    </w:pPr>
  </w:style>
  <w:style w:type="paragraph" w:styleId="Heading3">
    <w:name w:val="heading 3"/>
    <w:basedOn w:val="BodyText"/>
    <w:link w:val="Heading3Char"/>
    <w:uiPriority w:val="3"/>
    <w:qFormat/>
    <w:rsid w:val="00006F41"/>
    <w:pPr>
      <w:numPr>
        <w:ilvl w:val="2"/>
        <w:numId w:val="27"/>
      </w:numPr>
      <w:outlineLvl w:val="2"/>
    </w:pPr>
  </w:style>
  <w:style w:type="paragraph" w:styleId="Heading4">
    <w:name w:val="heading 4"/>
    <w:basedOn w:val="BodyText"/>
    <w:link w:val="Heading4Char"/>
    <w:uiPriority w:val="3"/>
    <w:qFormat/>
    <w:rsid w:val="00006F41"/>
    <w:pPr>
      <w:numPr>
        <w:ilvl w:val="3"/>
        <w:numId w:val="27"/>
      </w:numPr>
      <w:outlineLvl w:val="3"/>
    </w:pPr>
  </w:style>
  <w:style w:type="paragraph" w:styleId="Heading5">
    <w:name w:val="heading 5"/>
    <w:basedOn w:val="BodyText"/>
    <w:link w:val="Heading5Char"/>
    <w:uiPriority w:val="3"/>
    <w:qFormat/>
    <w:rsid w:val="00006F41"/>
    <w:pPr>
      <w:numPr>
        <w:ilvl w:val="4"/>
        <w:numId w:val="27"/>
      </w:numPr>
      <w:outlineLvl w:val="4"/>
    </w:pPr>
  </w:style>
  <w:style w:type="paragraph" w:styleId="Heading6">
    <w:name w:val="heading 6"/>
    <w:basedOn w:val="BodyText"/>
    <w:link w:val="Heading6Char"/>
    <w:uiPriority w:val="3"/>
    <w:qFormat/>
    <w:rsid w:val="00006F41"/>
    <w:pPr>
      <w:numPr>
        <w:ilvl w:val="5"/>
        <w:numId w:val="27"/>
      </w:numPr>
      <w:outlineLvl w:val="5"/>
    </w:pPr>
    <w:rPr>
      <w:bCs/>
    </w:rPr>
  </w:style>
  <w:style w:type="paragraph" w:styleId="Heading7">
    <w:name w:val="heading 7"/>
    <w:basedOn w:val="BodyText"/>
    <w:link w:val="Heading7Char"/>
    <w:uiPriority w:val="3"/>
    <w:rsid w:val="00006F41"/>
    <w:pPr>
      <w:numPr>
        <w:ilvl w:val="6"/>
        <w:numId w:val="27"/>
      </w:numPr>
      <w:outlineLvl w:val="6"/>
    </w:pPr>
  </w:style>
  <w:style w:type="paragraph" w:styleId="Heading8">
    <w:name w:val="heading 8"/>
    <w:basedOn w:val="BodyText"/>
    <w:link w:val="Heading8Char"/>
    <w:uiPriority w:val="3"/>
    <w:rsid w:val="00006F41"/>
    <w:pPr>
      <w:numPr>
        <w:ilvl w:val="7"/>
        <w:numId w:val="27"/>
      </w:numPr>
      <w:outlineLvl w:val="7"/>
    </w:pPr>
  </w:style>
  <w:style w:type="paragraph" w:styleId="Heading9">
    <w:name w:val="heading 9"/>
    <w:basedOn w:val="BodyText"/>
    <w:link w:val="Heading9Char"/>
    <w:uiPriority w:val="3"/>
    <w:rsid w:val="00006F41"/>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26"/>
      </w:numPr>
      <w:spacing w:line="360" w:lineRule="auto"/>
    </w:pPr>
  </w:style>
  <w:style w:type="paragraph" w:customStyle="1" w:styleId="CourtHeading2">
    <w:name w:val="Court Heading 2"/>
    <w:basedOn w:val="BodyText"/>
    <w:uiPriority w:val="8"/>
    <w:qFormat/>
    <w:rsid w:val="00A771B2"/>
    <w:pPr>
      <w:numPr>
        <w:ilvl w:val="1"/>
        <w:numId w:val="26"/>
      </w:numPr>
      <w:spacing w:line="360" w:lineRule="auto"/>
    </w:pPr>
  </w:style>
  <w:style w:type="paragraph" w:customStyle="1" w:styleId="CourtHeading3">
    <w:name w:val="Court Heading 3"/>
    <w:basedOn w:val="BodyText"/>
    <w:uiPriority w:val="8"/>
    <w:qFormat/>
    <w:rsid w:val="00A771B2"/>
    <w:pPr>
      <w:numPr>
        <w:ilvl w:val="2"/>
        <w:numId w:val="26"/>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3"/>
      </w:numPr>
      <w:jc w:val="left"/>
      <w:outlineLvl w:val="0"/>
    </w:pPr>
    <w:rPr>
      <w:rFonts w:asciiTheme="majorHAnsi" w:hAnsiTheme="majorHAnsi"/>
      <w:b/>
      <w:sz w:val="28"/>
    </w:rPr>
  </w:style>
  <w:style w:type="paragraph" w:styleId="Footer">
    <w:name w:val="footer"/>
    <w:basedOn w:val="BodyText"/>
    <w:link w:val="FooterChar"/>
    <w:uiPriority w:val="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
    <w:rsid w:val="00791A06"/>
    <w:rPr>
      <w:sz w:val="18"/>
    </w:rPr>
  </w:style>
  <w:style w:type="character" w:styleId="FootnoteReference">
    <w:name w:val="footnote reference"/>
    <w:uiPriority w:val="99"/>
    <w:semiHidden/>
    <w:rsid w:val="0078729F"/>
    <w:rPr>
      <w:vertAlign w:val="superscript"/>
    </w:rPr>
  </w:style>
  <w:style w:type="paragraph" w:styleId="FootnoteText">
    <w:name w:val="footnote text"/>
    <w:basedOn w:val="Normal"/>
    <w:link w:val="FootnoteTextChar"/>
    <w:semiHidden/>
    <w:rsid w:val="0078729F"/>
    <w:rPr>
      <w:sz w:val="18"/>
    </w:rPr>
  </w:style>
  <w:style w:type="character" w:customStyle="1" w:styleId="FootnoteTextChar">
    <w:name w:val="Footnote Text Char"/>
    <w:basedOn w:val="DefaultParagraphFont"/>
    <w:link w:val="FootnoteText"/>
    <w:semiHidden/>
    <w:rsid w:val="00EF10DC"/>
    <w:rPr>
      <w:sz w:val="18"/>
    </w:rPr>
  </w:style>
  <w:style w:type="paragraph" w:styleId="Header">
    <w:name w:val="header"/>
    <w:basedOn w:val="BodyText"/>
    <w:link w:val="HeaderChar"/>
    <w:uiPriority w:val="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5"/>
      </w:numPr>
    </w:pPr>
  </w:style>
  <w:style w:type="paragraph" w:customStyle="1" w:styleId="Recitals">
    <w:name w:val="Recitals"/>
    <w:basedOn w:val="BodyText"/>
    <w:uiPriority w:val="9"/>
    <w:rsid w:val="0078729F"/>
    <w:pPr>
      <w:numPr>
        <w:numId w:val="6"/>
      </w:numPr>
    </w:pPr>
  </w:style>
  <w:style w:type="paragraph" w:customStyle="1" w:styleId="SchLevel1">
    <w:name w:val="Sch Level 1"/>
    <w:basedOn w:val="BodyText"/>
    <w:uiPriority w:val="6"/>
    <w:qFormat/>
    <w:rsid w:val="00D256F3"/>
    <w:pPr>
      <w:numPr>
        <w:ilvl w:val="1"/>
        <w:numId w:val="29"/>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29"/>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29"/>
      </w:numPr>
      <w:outlineLvl w:val="3"/>
    </w:pPr>
  </w:style>
  <w:style w:type="paragraph" w:customStyle="1" w:styleId="SchLevel4">
    <w:name w:val="Sch Level 4"/>
    <w:basedOn w:val="BodyText"/>
    <w:uiPriority w:val="6"/>
    <w:rsid w:val="00D256F3"/>
    <w:pPr>
      <w:numPr>
        <w:ilvl w:val="4"/>
        <w:numId w:val="29"/>
      </w:numPr>
      <w:outlineLvl w:val="4"/>
    </w:pPr>
  </w:style>
  <w:style w:type="paragraph" w:customStyle="1" w:styleId="SchLevel5">
    <w:name w:val="Sch Level 5"/>
    <w:basedOn w:val="BodyText"/>
    <w:uiPriority w:val="6"/>
    <w:rsid w:val="00D256F3"/>
    <w:pPr>
      <w:numPr>
        <w:ilvl w:val="5"/>
        <w:numId w:val="29"/>
      </w:numPr>
      <w:outlineLvl w:val="5"/>
    </w:pPr>
  </w:style>
  <w:style w:type="paragraph" w:customStyle="1" w:styleId="SchLevel6">
    <w:name w:val="Sch Level 6"/>
    <w:basedOn w:val="BodyText"/>
    <w:uiPriority w:val="6"/>
    <w:rsid w:val="00D256F3"/>
    <w:pPr>
      <w:numPr>
        <w:ilvl w:val="6"/>
        <w:numId w:val="29"/>
      </w:numPr>
      <w:outlineLvl w:val="6"/>
    </w:pPr>
  </w:style>
  <w:style w:type="paragraph" w:customStyle="1" w:styleId="SchLevel7">
    <w:name w:val="Sch Level 7"/>
    <w:basedOn w:val="BodyText"/>
    <w:uiPriority w:val="6"/>
    <w:rsid w:val="00D256F3"/>
    <w:pPr>
      <w:numPr>
        <w:ilvl w:val="7"/>
        <w:numId w:val="29"/>
      </w:numPr>
      <w:outlineLvl w:val="7"/>
    </w:pPr>
  </w:style>
  <w:style w:type="paragraph" w:customStyle="1" w:styleId="SchLevel8">
    <w:name w:val="Sch Level 8"/>
    <w:basedOn w:val="BodyText"/>
    <w:uiPriority w:val="6"/>
    <w:rsid w:val="00D256F3"/>
    <w:pPr>
      <w:numPr>
        <w:ilvl w:val="8"/>
        <w:numId w:val="29"/>
      </w:numPr>
      <w:outlineLvl w:val="8"/>
    </w:pPr>
  </w:style>
  <w:style w:type="paragraph" w:customStyle="1" w:styleId="SchTitle1">
    <w:name w:val="Sch Title 1"/>
    <w:basedOn w:val="BodyText"/>
    <w:next w:val="BodyText"/>
    <w:uiPriority w:val="5"/>
    <w:qFormat/>
    <w:rsid w:val="00D256F3"/>
    <w:pPr>
      <w:pageBreakBefore/>
      <w:numPr>
        <w:numId w:val="29"/>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8"/>
      </w:numPr>
    </w:pPr>
  </w:style>
  <w:style w:type="numbering" w:customStyle="1" w:styleId="CourtHeadings">
    <w:name w:val="Court Headings"/>
    <w:uiPriority w:val="99"/>
    <w:rsid w:val="00A771B2"/>
    <w:pPr>
      <w:numPr>
        <w:numId w:val="15"/>
      </w:numPr>
    </w:pPr>
  </w:style>
  <w:style w:type="numbering" w:customStyle="1" w:styleId="Schedules">
    <w:name w:val="Schedules"/>
    <w:uiPriority w:val="99"/>
    <w:rsid w:val="00D256F3"/>
    <w:pPr>
      <w:numPr>
        <w:numId w:val="14"/>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qFormat/>
    <w:rsid w:val="008250D8"/>
    <w:rPr>
      <w:b/>
      <w:i w:val="0"/>
      <w:iCs/>
    </w:rPr>
  </w:style>
  <w:style w:type="character" w:styleId="PlaceholderText">
    <w:name w:val="Placeholder Text"/>
    <w:basedOn w:val="DefaultParagraphFont"/>
    <w:uiPriority w:val="99"/>
    <w:semiHidden/>
    <w:rsid w:val="00F05415"/>
    <w:rPr>
      <w:color w:val="808080"/>
    </w:rPr>
  </w:style>
  <w:style w:type="paragraph" w:styleId="NormalWeb">
    <w:name w:val="Normal (Web)"/>
    <w:basedOn w:val="Normal"/>
    <w:uiPriority w:val="99"/>
    <w:semiHidden/>
    <w:unhideWhenUsed/>
    <w:rsid w:val="008564F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gp2paratext">
    <w:name w:val="legp2paratext"/>
    <w:basedOn w:val="Normal"/>
    <w:rsid w:val="00BF1CD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mendedcolour">
    <w:name w:val="amendedcolour"/>
    <w:basedOn w:val="DefaultParagraphFont"/>
    <w:rsid w:val="00BF1CD4"/>
  </w:style>
  <w:style w:type="paragraph" w:customStyle="1" w:styleId="legclearfix">
    <w:name w:val="legclearfix"/>
    <w:basedOn w:val="Normal"/>
    <w:rsid w:val="00BF1CD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gp1paratext">
    <w:name w:val="legp1paratext"/>
    <w:basedOn w:val="Normal"/>
    <w:rsid w:val="00EA72B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72BA"/>
  </w:style>
  <w:style w:type="paragraph" w:customStyle="1" w:styleId="ListParagraph1">
    <w:name w:val="List Paragraph1"/>
    <w:aliases w:val="Comments"/>
    <w:basedOn w:val="Normal"/>
    <w:qFormat/>
    <w:rsid w:val="0068108F"/>
    <w:pPr>
      <w:spacing w:after="200"/>
      <w:ind w:left="720"/>
      <w:jc w:val="left"/>
    </w:pPr>
    <w:rPr>
      <w:rFonts w:ascii="Calibri" w:eastAsia="Times New Roman" w:hAnsi="Calibri" w:cs="Calibri"/>
      <w:noProof/>
    </w:rPr>
  </w:style>
  <w:style w:type="character" w:styleId="CommentReference">
    <w:name w:val="annotation reference"/>
    <w:basedOn w:val="DefaultParagraphFont"/>
    <w:uiPriority w:val="99"/>
    <w:semiHidden/>
    <w:unhideWhenUsed/>
    <w:rsid w:val="00D14D97"/>
    <w:rPr>
      <w:sz w:val="16"/>
      <w:szCs w:val="16"/>
    </w:rPr>
  </w:style>
  <w:style w:type="paragraph" w:styleId="CommentText">
    <w:name w:val="annotation text"/>
    <w:basedOn w:val="Normal"/>
    <w:link w:val="CommentTextChar"/>
    <w:uiPriority w:val="99"/>
    <w:unhideWhenUsed/>
    <w:rsid w:val="00D14D97"/>
    <w:rPr>
      <w:sz w:val="20"/>
      <w:szCs w:val="20"/>
    </w:rPr>
  </w:style>
  <w:style w:type="character" w:customStyle="1" w:styleId="CommentTextChar">
    <w:name w:val="Comment Text Char"/>
    <w:basedOn w:val="DefaultParagraphFont"/>
    <w:link w:val="CommentText"/>
    <w:uiPriority w:val="99"/>
    <w:rsid w:val="00D14D97"/>
    <w:rPr>
      <w:sz w:val="20"/>
      <w:szCs w:val="20"/>
    </w:rPr>
  </w:style>
  <w:style w:type="paragraph" w:styleId="CommentSubject">
    <w:name w:val="annotation subject"/>
    <w:basedOn w:val="CommentText"/>
    <w:next w:val="CommentText"/>
    <w:link w:val="CommentSubjectChar"/>
    <w:uiPriority w:val="99"/>
    <w:semiHidden/>
    <w:unhideWhenUsed/>
    <w:rsid w:val="00D14D97"/>
    <w:rPr>
      <w:b/>
      <w:bCs/>
    </w:rPr>
  </w:style>
  <w:style w:type="character" w:customStyle="1" w:styleId="CommentSubjectChar">
    <w:name w:val="Comment Subject Char"/>
    <w:basedOn w:val="CommentTextChar"/>
    <w:link w:val="CommentSubject"/>
    <w:uiPriority w:val="99"/>
    <w:semiHidden/>
    <w:rsid w:val="00D14D97"/>
    <w:rPr>
      <w:b/>
      <w:bCs/>
      <w:sz w:val="20"/>
      <w:szCs w:val="20"/>
    </w:rPr>
  </w:style>
  <w:style w:type="character" w:styleId="FollowedHyperlink">
    <w:name w:val="FollowedHyperlink"/>
    <w:basedOn w:val="DefaultParagraphFont"/>
    <w:uiPriority w:val="99"/>
    <w:semiHidden/>
    <w:unhideWhenUsed/>
    <w:rsid w:val="00006007"/>
    <w:rPr>
      <w:color w:val="800080" w:themeColor="followedHyperlink"/>
      <w:u w:val="single"/>
    </w:rPr>
  </w:style>
  <w:style w:type="paragraph" w:styleId="ListParagraph">
    <w:name w:val="List Paragraph"/>
    <w:aliases w:val="Colorful List - Accent 11"/>
    <w:basedOn w:val="Normal"/>
    <w:uiPriority w:val="34"/>
    <w:qFormat/>
    <w:rsid w:val="00600EFD"/>
    <w:pPr>
      <w:spacing w:after="200"/>
      <w:ind w:left="720"/>
      <w:contextualSpacing/>
      <w:jc w:val="left"/>
    </w:pPr>
    <w:rPr>
      <w:rFonts w:ascii="Calibri" w:eastAsia="Calibri"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Title" w:unhideWhenUsed="0"/>
    <w:lsdException w:name="Default Paragraph Font" w:uiPriority="0"/>
    <w:lsdException w:name="Body Text" w:uiPriority="2" w:qFormat="1"/>
    <w:lsdException w:name="Subtitle" w:uiPriority="11" w:unhideWhenUsed="0"/>
    <w:lsdException w:name="Body Text Indent 2" w:uiPriority="0" w:qFormat="1"/>
    <w:lsdException w:name="Body Text Indent 3" w:uiPriority="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27"/>
      </w:numPr>
      <w:outlineLvl w:val="0"/>
    </w:pPr>
  </w:style>
  <w:style w:type="paragraph" w:styleId="Heading2">
    <w:name w:val="heading 2"/>
    <w:basedOn w:val="BodyText"/>
    <w:link w:val="Heading2Char"/>
    <w:uiPriority w:val="3"/>
    <w:qFormat/>
    <w:rsid w:val="00006F41"/>
    <w:pPr>
      <w:numPr>
        <w:ilvl w:val="1"/>
        <w:numId w:val="27"/>
      </w:numPr>
      <w:outlineLvl w:val="1"/>
    </w:pPr>
  </w:style>
  <w:style w:type="paragraph" w:styleId="Heading3">
    <w:name w:val="heading 3"/>
    <w:basedOn w:val="BodyText"/>
    <w:link w:val="Heading3Char"/>
    <w:uiPriority w:val="3"/>
    <w:qFormat/>
    <w:rsid w:val="00006F41"/>
    <w:pPr>
      <w:numPr>
        <w:ilvl w:val="2"/>
        <w:numId w:val="27"/>
      </w:numPr>
      <w:outlineLvl w:val="2"/>
    </w:pPr>
  </w:style>
  <w:style w:type="paragraph" w:styleId="Heading4">
    <w:name w:val="heading 4"/>
    <w:basedOn w:val="BodyText"/>
    <w:link w:val="Heading4Char"/>
    <w:uiPriority w:val="3"/>
    <w:qFormat/>
    <w:rsid w:val="00006F41"/>
    <w:pPr>
      <w:numPr>
        <w:ilvl w:val="3"/>
        <w:numId w:val="27"/>
      </w:numPr>
      <w:outlineLvl w:val="3"/>
    </w:pPr>
  </w:style>
  <w:style w:type="paragraph" w:styleId="Heading5">
    <w:name w:val="heading 5"/>
    <w:basedOn w:val="BodyText"/>
    <w:link w:val="Heading5Char"/>
    <w:uiPriority w:val="3"/>
    <w:qFormat/>
    <w:rsid w:val="00006F41"/>
    <w:pPr>
      <w:numPr>
        <w:ilvl w:val="4"/>
        <w:numId w:val="27"/>
      </w:numPr>
      <w:outlineLvl w:val="4"/>
    </w:pPr>
  </w:style>
  <w:style w:type="paragraph" w:styleId="Heading6">
    <w:name w:val="heading 6"/>
    <w:basedOn w:val="BodyText"/>
    <w:link w:val="Heading6Char"/>
    <w:uiPriority w:val="3"/>
    <w:qFormat/>
    <w:rsid w:val="00006F41"/>
    <w:pPr>
      <w:numPr>
        <w:ilvl w:val="5"/>
        <w:numId w:val="27"/>
      </w:numPr>
      <w:outlineLvl w:val="5"/>
    </w:pPr>
    <w:rPr>
      <w:bCs/>
    </w:rPr>
  </w:style>
  <w:style w:type="paragraph" w:styleId="Heading7">
    <w:name w:val="heading 7"/>
    <w:basedOn w:val="BodyText"/>
    <w:link w:val="Heading7Char"/>
    <w:uiPriority w:val="3"/>
    <w:rsid w:val="00006F41"/>
    <w:pPr>
      <w:numPr>
        <w:ilvl w:val="6"/>
        <w:numId w:val="27"/>
      </w:numPr>
      <w:outlineLvl w:val="6"/>
    </w:pPr>
  </w:style>
  <w:style w:type="paragraph" w:styleId="Heading8">
    <w:name w:val="heading 8"/>
    <w:basedOn w:val="BodyText"/>
    <w:link w:val="Heading8Char"/>
    <w:uiPriority w:val="3"/>
    <w:rsid w:val="00006F41"/>
    <w:pPr>
      <w:numPr>
        <w:ilvl w:val="7"/>
        <w:numId w:val="27"/>
      </w:numPr>
      <w:outlineLvl w:val="7"/>
    </w:pPr>
  </w:style>
  <w:style w:type="paragraph" w:styleId="Heading9">
    <w:name w:val="heading 9"/>
    <w:basedOn w:val="BodyText"/>
    <w:link w:val="Heading9Char"/>
    <w:uiPriority w:val="3"/>
    <w:rsid w:val="00006F41"/>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26"/>
      </w:numPr>
      <w:spacing w:line="360" w:lineRule="auto"/>
    </w:pPr>
  </w:style>
  <w:style w:type="paragraph" w:customStyle="1" w:styleId="CourtHeading2">
    <w:name w:val="Court Heading 2"/>
    <w:basedOn w:val="BodyText"/>
    <w:uiPriority w:val="8"/>
    <w:qFormat/>
    <w:rsid w:val="00A771B2"/>
    <w:pPr>
      <w:numPr>
        <w:ilvl w:val="1"/>
        <w:numId w:val="26"/>
      </w:numPr>
      <w:spacing w:line="360" w:lineRule="auto"/>
    </w:pPr>
  </w:style>
  <w:style w:type="paragraph" w:customStyle="1" w:styleId="CourtHeading3">
    <w:name w:val="Court Heading 3"/>
    <w:basedOn w:val="BodyText"/>
    <w:uiPriority w:val="8"/>
    <w:qFormat/>
    <w:rsid w:val="00A771B2"/>
    <w:pPr>
      <w:numPr>
        <w:ilvl w:val="2"/>
        <w:numId w:val="26"/>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3"/>
      </w:numPr>
      <w:jc w:val="left"/>
      <w:outlineLvl w:val="0"/>
    </w:pPr>
    <w:rPr>
      <w:rFonts w:asciiTheme="majorHAnsi" w:hAnsiTheme="majorHAnsi"/>
      <w:b/>
      <w:sz w:val="28"/>
    </w:rPr>
  </w:style>
  <w:style w:type="paragraph" w:styleId="Footer">
    <w:name w:val="footer"/>
    <w:basedOn w:val="BodyText"/>
    <w:link w:val="FooterChar"/>
    <w:uiPriority w:val="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
    <w:rsid w:val="00791A06"/>
    <w:rPr>
      <w:sz w:val="18"/>
    </w:rPr>
  </w:style>
  <w:style w:type="character" w:styleId="FootnoteReference">
    <w:name w:val="footnote reference"/>
    <w:uiPriority w:val="99"/>
    <w:semiHidden/>
    <w:rsid w:val="0078729F"/>
    <w:rPr>
      <w:vertAlign w:val="superscript"/>
    </w:rPr>
  </w:style>
  <w:style w:type="paragraph" w:styleId="FootnoteText">
    <w:name w:val="footnote text"/>
    <w:basedOn w:val="Normal"/>
    <w:link w:val="FootnoteTextChar"/>
    <w:semiHidden/>
    <w:rsid w:val="0078729F"/>
    <w:rPr>
      <w:sz w:val="18"/>
    </w:rPr>
  </w:style>
  <w:style w:type="character" w:customStyle="1" w:styleId="FootnoteTextChar">
    <w:name w:val="Footnote Text Char"/>
    <w:basedOn w:val="DefaultParagraphFont"/>
    <w:link w:val="FootnoteText"/>
    <w:semiHidden/>
    <w:rsid w:val="00EF10DC"/>
    <w:rPr>
      <w:sz w:val="18"/>
    </w:rPr>
  </w:style>
  <w:style w:type="paragraph" w:styleId="Header">
    <w:name w:val="header"/>
    <w:basedOn w:val="BodyText"/>
    <w:link w:val="HeaderChar"/>
    <w:uiPriority w:val="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5"/>
      </w:numPr>
    </w:pPr>
  </w:style>
  <w:style w:type="paragraph" w:customStyle="1" w:styleId="Recitals">
    <w:name w:val="Recitals"/>
    <w:basedOn w:val="BodyText"/>
    <w:uiPriority w:val="9"/>
    <w:rsid w:val="0078729F"/>
    <w:pPr>
      <w:numPr>
        <w:numId w:val="6"/>
      </w:numPr>
    </w:pPr>
  </w:style>
  <w:style w:type="paragraph" w:customStyle="1" w:styleId="SchLevel1">
    <w:name w:val="Sch Level 1"/>
    <w:basedOn w:val="BodyText"/>
    <w:uiPriority w:val="6"/>
    <w:qFormat/>
    <w:rsid w:val="00D256F3"/>
    <w:pPr>
      <w:numPr>
        <w:ilvl w:val="1"/>
        <w:numId w:val="29"/>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29"/>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29"/>
      </w:numPr>
      <w:outlineLvl w:val="3"/>
    </w:pPr>
  </w:style>
  <w:style w:type="paragraph" w:customStyle="1" w:styleId="SchLevel4">
    <w:name w:val="Sch Level 4"/>
    <w:basedOn w:val="BodyText"/>
    <w:uiPriority w:val="6"/>
    <w:rsid w:val="00D256F3"/>
    <w:pPr>
      <w:numPr>
        <w:ilvl w:val="4"/>
        <w:numId w:val="29"/>
      </w:numPr>
      <w:outlineLvl w:val="4"/>
    </w:pPr>
  </w:style>
  <w:style w:type="paragraph" w:customStyle="1" w:styleId="SchLevel5">
    <w:name w:val="Sch Level 5"/>
    <w:basedOn w:val="BodyText"/>
    <w:uiPriority w:val="6"/>
    <w:rsid w:val="00D256F3"/>
    <w:pPr>
      <w:numPr>
        <w:ilvl w:val="5"/>
        <w:numId w:val="29"/>
      </w:numPr>
      <w:outlineLvl w:val="5"/>
    </w:pPr>
  </w:style>
  <w:style w:type="paragraph" w:customStyle="1" w:styleId="SchLevel6">
    <w:name w:val="Sch Level 6"/>
    <w:basedOn w:val="BodyText"/>
    <w:uiPriority w:val="6"/>
    <w:rsid w:val="00D256F3"/>
    <w:pPr>
      <w:numPr>
        <w:ilvl w:val="6"/>
        <w:numId w:val="29"/>
      </w:numPr>
      <w:outlineLvl w:val="6"/>
    </w:pPr>
  </w:style>
  <w:style w:type="paragraph" w:customStyle="1" w:styleId="SchLevel7">
    <w:name w:val="Sch Level 7"/>
    <w:basedOn w:val="BodyText"/>
    <w:uiPriority w:val="6"/>
    <w:rsid w:val="00D256F3"/>
    <w:pPr>
      <w:numPr>
        <w:ilvl w:val="7"/>
        <w:numId w:val="29"/>
      </w:numPr>
      <w:outlineLvl w:val="7"/>
    </w:pPr>
  </w:style>
  <w:style w:type="paragraph" w:customStyle="1" w:styleId="SchLevel8">
    <w:name w:val="Sch Level 8"/>
    <w:basedOn w:val="BodyText"/>
    <w:uiPriority w:val="6"/>
    <w:rsid w:val="00D256F3"/>
    <w:pPr>
      <w:numPr>
        <w:ilvl w:val="8"/>
        <w:numId w:val="29"/>
      </w:numPr>
      <w:outlineLvl w:val="8"/>
    </w:pPr>
  </w:style>
  <w:style w:type="paragraph" w:customStyle="1" w:styleId="SchTitle1">
    <w:name w:val="Sch Title 1"/>
    <w:basedOn w:val="BodyText"/>
    <w:next w:val="BodyText"/>
    <w:uiPriority w:val="5"/>
    <w:qFormat/>
    <w:rsid w:val="00D256F3"/>
    <w:pPr>
      <w:pageBreakBefore/>
      <w:numPr>
        <w:numId w:val="29"/>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8"/>
      </w:numPr>
    </w:pPr>
  </w:style>
  <w:style w:type="numbering" w:customStyle="1" w:styleId="CourtHeadings">
    <w:name w:val="Court Headings"/>
    <w:uiPriority w:val="99"/>
    <w:rsid w:val="00A771B2"/>
    <w:pPr>
      <w:numPr>
        <w:numId w:val="15"/>
      </w:numPr>
    </w:pPr>
  </w:style>
  <w:style w:type="numbering" w:customStyle="1" w:styleId="Schedules">
    <w:name w:val="Schedules"/>
    <w:uiPriority w:val="99"/>
    <w:rsid w:val="00D256F3"/>
    <w:pPr>
      <w:numPr>
        <w:numId w:val="14"/>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qFormat/>
    <w:rsid w:val="008250D8"/>
    <w:rPr>
      <w:b/>
      <w:i w:val="0"/>
      <w:iCs/>
    </w:rPr>
  </w:style>
  <w:style w:type="character" w:styleId="PlaceholderText">
    <w:name w:val="Placeholder Text"/>
    <w:basedOn w:val="DefaultParagraphFont"/>
    <w:uiPriority w:val="99"/>
    <w:semiHidden/>
    <w:rsid w:val="00F05415"/>
    <w:rPr>
      <w:color w:val="808080"/>
    </w:rPr>
  </w:style>
  <w:style w:type="paragraph" w:styleId="NormalWeb">
    <w:name w:val="Normal (Web)"/>
    <w:basedOn w:val="Normal"/>
    <w:uiPriority w:val="99"/>
    <w:semiHidden/>
    <w:unhideWhenUsed/>
    <w:rsid w:val="008564F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gp2paratext">
    <w:name w:val="legp2paratext"/>
    <w:basedOn w:val="Normal"/>
    <w:rsid w:val="00BF1CD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mendedcolour">
    <w:name w:val="amendedcolour"/>
    <w:basedOn w:val="DefaultParagraphFont"/>
    <w:rsid w:val="00BF1CD4"/>
  </w:style>
  <w:style w:type="paragraph" w:customStyle="1" w:styleId="legclearfix">
    <w:name w:val="legclearfix"/>
    <w:basedOn w:val="Normal"/>
    <w:rsid w:val="00BF1CD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gp1paratext">
    <w:name w:val="legp1paratext"/>
    <w:basedOn w:val="Normal"/>
    <w:rsid w:val="00EA72B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A72BA"/>
  </w:style>
  <w:style w:type="paragraph" w:customStyle="1" w:styleId="ListParagraph1">
    <w:name w:val="List Paragraph1"/>
    <w:aliases w:val="Comments"/>
    <w:basedOn w:val="Normal"/>
    <w:qFormat/>
    <w:rsid w:val="0068108F"/>
    <w:pPr>
      <w:spacing w:after="200"/>
      <w:ind w:left="720"/>
      <w:jc w:val="left"/>
    </w:pPr>
    <w:rPr>
      <w:rFonts w:ascii="Calibri" w:eastAsia="Times New Roman" w:hAnsi="Calibri" w:cs="Calibri"/>
      <w:noProof/>
    </w:rPr>
  </w:style>
  <w:style w:type="character" w:styleId="CommentReference">
    <w:name w:val="annotation reference"/>
    <w:basedOn w:val="DefaultParagraphFont"/>
    <w:uiPriority w:val="99"/>
    <w:semiHidden/>
    <w:unhideWhenUsed/>
    <w:rsid w:val="00D14D97"/>
    <w:rPr>
      <w:sz w:val="16"/>
      <w:szCs w:val="16"/>
    </w:rPr>
  </w:style>
  <w:style w:type="paragraph" w:styleId="CommentText">
    <w:name w:val="annotation text"/>
    <w:basedOn w:val="Normal"/>
    <w:link w:val="CommentTextChar"/>
    <w:uiPriority w:val="99"/>
    <w:unhideWhenUsed/>
    <w:rsid w:val="00D14D97"/>
    <w:rPr>
      <w:sz w:val="20"/>
      <w:szCs w:val="20"/>
    </w:rPr>
  </w:style>
  <w:style w:type="character" w:customStyle="1" w:styleId="CommentTextChar">
    <w:name w:val="Comment Text Char"/>
    <w:basedOn w:val="DefaultParagraphFont"/>
    <w:link w:val="CommentText"/>
    <w:uiPriority w:val="99"/>
    <w:rsid w:val="00D14D97"/>
    <w:rPr>
      <w:sz w:val="20"/>
      <w:szCs w:val="20"/>
    </w:rPr>
  </w:style>
  <w:style w:type="paragraph" w:styleId="CommentSubject">
    <w:name w:val="annotation subject"/>
    <w:basedOn w:val="CommentText"/>
    <w:next w:val="CommentText"/>
    <w:link w:val="CommentSubjectChar"/>
    <w:uiPriority w:val="99"/>
    <w:semiHidden/>
    <w:unhideWhenUsed/>
    <w:rsid w:val="00D14D97"/>
    <w:rPr>
      <w:b/>
      <w:bCs/>
    </w:rPr>
  </w:style>
  <w:style w:type="character" w:customStyle="1" w:styleId="CommentSubjectChar">
    <w:name w:val="Comment Subject Char"/>
    <w:basedOn w:val="CommentTextChar"/>
    <w:link w:val="CommentSubject"/>
    <w:uiPriority w:val="99"/>
    <w:semiHidden/>
    <w:rsid w:val="00D14D97"/>
    <w:rPr>
      <w:b/>
      <w:bCs/>
      <w:sz w:val="20"/>
      <w:szCs w:val="20"/>
    </w:rPr>
  </w:style>
  <w:style w:type="character" w:styleId="FollowedHyperlink">
    <w:name w:val="FollowedHyperlink"/>
    <w:basedOn w:val="DefaultParagraphFont"/>
    <w:uiPriority w:val="99"/>
    <w:semiHidden/>
    <w:unhideWhenUsed/>
    <w:rsid w:val="00006007"/>
    <w:rPr>
      <w:color w:val="800080" w:themeColor="followedHyperlink"/>
      <w:u w:val="single"/>
    </w:rPr>
  </w:style>
  <w:style w:type="paragraph" w:styleId="ListParagraph">
    <w:name w:val="List Paragraph"/>
    <w:aliases w:val="Colorful List - Accent 11"/>
    <w:basedOn w:val="Normal"/>
    <w:uiPriority w:val="34"/>
    <w:qFormat/>
    <w:rsid w:val="00600EFD"/>
    <w:pPr>
      <w:spacing w:after="200"/>
      <w:ind w:left="720"/>
      <w:contextualSpacing/>
      <w:jc w:val="left"/>
    </w:pPr>
    <w:rPr>
      <w:rFonts w:ascii="Calibri" w:eastAsia="Calibri" w:hAnsi="Calibri" w:cs="Times New Roman"/>
      <w:szCs w:val="20"/>
    </w:rPr>
  </w:style>
</w:styles>
</file>

<file path=word/webSettings.xml><?xml version="1.0" encoding="utf-8"?>
<w:webSettings xmlns:r="http://schemas.openxmlformats.org/officeDocument/2006/relationships" xmlns:w="http://schemas.openxmlformats.org/wordprocessingml/2006/main">
  <w:divs>
    <w:div w:id="258952806">
      <w:bodyDiv w:val="1"/>
      <w:marLeft w:val="0"/>
      <w:marRight w:val="0"/>
      <w:marTop w:val="0"/>
      <w:marBottom w:val="0"/>
      <w:divBdr>
        <w:top w:val="none" w:sz="0" w:space="0" w:color="auto"/>
        <w:left w:val="none" w:sz="0" w:space="0" w:color="auto"/>
        <w:bottom w:val="none" w:sz="0" w:space="0" w:color="auto"/>
        <w:right w:val="none" w:sz="0" w:space="0" w:color="auto"/>
      </w:divBdr>
    </w:div>
    <w:div w:id="825316564">
      <w:bodyDiv w:val="1"/>
      <w:marLeft w:val="0"/>
      <w:marRight w:val="0"/>
      <w:marTop w:val="0"/>
      <w:marBottom w:val="0"/>
      <w:divBdr>
        <w:top w:val="none" w:sz="0" w:space="0" w:color="auto"/>
        <w:left w:val="none" w:sz="0" w:space="0" w:color="auto"/>
        <w:bottom w:val="none" w:sz="0" w:space="0" w:color="auto"/>
        <w:right w:val="none" w:sz="0" w:space="0" w:color="auto"/>
      </w:divBdr>
      <w:divsChild>
        <w:div w:id="235359462">
          <w:marLeft w:val="0"/>
          <w:marRight w:val="0"/>
          <w:marTop w:val="0"/>
          <w:marBottom w:val="0"/>
          <w:divBdr>
            <w:top w:val="none" w:sz="0" w:space="0" w:color="auto"/>
            <w:left w:val="none" w:sz="0" w:space="0" w:color="auto"/>
            <w:bottom w:val="none" w:sz="0" w:space="0" w:color="auto"/>
            <w:right w:val="none" w:sz="0" w:space="0" w:color="auto"/>
          </w:divBdr>
        </w:div>
      </w:divsChild>
    </w:div>
    <w:div w:id="1355157346">
      <w:bodyDiv w:val="1"/>
      <w:marLeft w:val="0"/>
      <w:marRight w:val="0"/>
      <w:marTop w:val="0"/>
      <w:marBottom w:val="0"/>
      <w:divBdr>
        <w:top w:val="none" w:sz="0" w:space="0" w:color="auto"/>
        <w:left w:val="none" w:sz="0" w:space="0" w:color="auto"/>
        <w:bottom w:val="none" w:sz="0" w:space="0" w:color="auto"/>
        <w:right w:val="none" w:sz="0" w:space="0" w:color="auto"/>
      </w:divBdr>
    </w:div>
    <w:div w:id="19695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olitics/2013/oct/10/immigration-bill-theresa-may-hostile-environ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ohchr.org/English/bodies/crc/docs/GC/CRC_C_GC_14_ENG.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ov.uk/government/uploads/system/uploads/attachment_data/file/421057/PP10b.pdf" TargetMode="External"/><Relationship Id="rId4" Type="http://schemas.openxmlformats.org/officeDocument/2006/relationships/settings" Target="settings.xml"/><Relationship Id="rId9" Type="http://schemas.openxmlformats.org/officeDocument/2006/relationships/hyperlink" Target="http://www.bailii.org/ew/cases/EWCA/Civ/2015/49.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E78C6DD5B5490A9D16BF83B0B5A85C"/>
        <w:category>
          <w:name w:val="General"/>
          <w:gallery w:val="placeholder"/>
        </w:category>
        <w:types>
          <w:type w:val="bbPlcHdr"/>
        </w:types>
        <w:behaviors>
          <w:behavior w:val="content"/>
        </w:behaviors>
        <w:guid w:val="{E43497A0-27EB-4B77-9519-03F1095E89B0}"/>
      </w:docPartPr>
      <w:docPartBody>
        <w:p w:rsidR="00102203" w:rsidRDefault="00102203"/>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02203"/>
    <w:rsid w:val="000E0E05"/>
    <w:rsid w:val="00102203"/>
    <w:rsid w:val="002717AE"/>
    <w:rsid w:val="00444AEE"/>
    <w:rsid w:val="005100F9"/>
    <w:rsid w:val="005143B8"/>
    <w:rsid w:val="00597115"/>
    <w:rsid w:val="005F4DC2"/>
    <w:rsid w:val="00612FDD"/>
    <w:rsid w:val="007261B7"/>
    <w:rsid w:val="007E4A1C"/>
    <w:rsid w:val="009C5CC9"/>
    <w:rsid w:val="00C25937"/>
    <w:rsid w:val="00C25A65"/>
    <w:rsid w:val="00E84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yde &amp; C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BF2BF-5B4C-44A1-BA90-08FBD0C3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dc:creator>
  <cp:lastModifiedBy>bkosmala</cp:lastModifiedBy>
  <cp:revision>2</cp:revision>
  <cp:lastPrinted>2015-08-06T16:55:00Z</cp:lastPrinted>
  <dcterms:created xsi:type="dcterms:W3CDTF">2017-10-31T17:28:00Z</dcterms:created>
  <dcterms:modified xsi:type="dcterms:W3CDTF">2017-10-31T17:28:00Z</dcterms:modified>
</cp:coreProperties>
</file>